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9AD4">
      <w:pPr>
        <w:numPr>
          <w:numId w:val="0"/>
        </w:numPr>
        <w:ind w:left="400" w:leftChars="0"/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“区域病理”物流平台对接服务</w:t>
      </w:r>
    </w:p>
    <w:p w14:paraId="0266610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系统具备部门管理、用户管理、角色管理、车辆管理、线路管理、转运箱管理、标本类型管理、项目目录管理等基本资料设置功能。</w:t>
      </w:r>
    </w:p>
    <w:p w14:paraId="2743E5D2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支持新增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标本采集，包括新增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单信息和新增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标本采集信息。</w:t>
      </w:r>
    </w:p>
    <w:p w14:paraId="7C628359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支持标本转运管理，支持对转运单进行派单、核收标本、录入冷链信息、查看冷链信息等操作。</w:t>
      </w:r>
    </w:p>
    <w:p w14:paraId="3494E21E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标本接收管理，支持通过接口获取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系统下发的标本接收记录信息；支持查询、导出标本接收单记录，支持对接收单进行标本接收、录入冷链信息、查看冷链信息等操作。</w:t>
      </w:r>
    </w:p>
    <w:p w14:paraId="37E55F09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支持冷链记录管理，支持通过接口获取上游系统下发的冷链记录信息。</w:t>
      </w:r>
    </w:p>
    <w:p w14:paraId="36D35D7B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支持标本检测管理，主要查看上游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系统下发的标本检测信息，支持通过接口获取上游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r>
        <w:rPr>
          <w:rFonts w:hint="eastAsia"/>
          <w:b w:val="0"/>
          <w:sz w:val="24"/>
          <w:szCs w:val="24"/>
        </w:rPr>
        <w:t>系统下发的标本检测信息和标本检测报告（支持图片、PDF格式）；支持查询标本检测记录，支持查看标本检测报告。</w:t>
      </w:r>
    </w:p>
    <w:p w14:paraId="78FCC606">
      <w:pPr>
        <w:numPr>
          <w:ilvl w:val="0"/>
          <w:numId w:val="2"/>
        </w:num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支持通过手持终端PDA进行</w:t>
      </w:r>
      <w:r>
        <w:rPr>
          <w:rFonts w:hint="eastAsia"/>
          <w:b w:val="0"/>
          <w:sz w:val="24"/>
          <w:szCs w:val="24"/>
          <w:lang w:val="en-US" w:eastAsia="zh-CN"/>
        </w:rPr>
        <w:t>病理</w:t>
      </w:r>
      <w:bookmarkStart w:id="0" w:name="_GoBack"/>
      <w:bookmarkEnd w:id="0"/>
      <w:r>
        <w:rPr>
          <w:rFonts w:hint="eastAsia"/>
          <w:b w:val="0"/>
          <w:sz w:val="24"/>
          <w:szCs w:val="24"/>
        </w:rPr>
        <w:t>标本接收等功能。</w:t>
      </w:r>
    </w:p>
    <w:p w14:paraId="434D7B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E2832"/>
    <w:multiLevelType w:val="multilevel"/>
    <w:tmpl w:val="C77E283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6FC818FB"/>
    <w:multiLevelType w:val="singleLevel"/>
    <w:tmpl w:val="6FC818F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713E"/>
    <w:rsid w:val="507350E4"/>
    <w:rsid w:val="766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cap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371</Characters>
  <Lines>0</Lines>
  <Paragraphs>0</Paragraphs>
  <TotalTime>6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2025-05-08T06:25:00Z</dcterms:created>
  <dc:creator>54446</dc:creator>
  <cp:lastModifiedBy>田刚林</cp:lastModifiedBy>
  <dcterms:modified xsi:type="dcterms:W3CDTF">2025-05-08T06:54:04Z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eyJoZGlkIjoiZWRlOWQyODgxZWZkNTcxNWY0MmNjNWUzMjg1NmI0ZGMiLCJ1c2VySWQiOiIyMjI0NTYxMzUifQ==</vt:lpwstr>
  </property>
  <property fmtid="{D5CDD505-2E9C-101B-9397-08002B2CF9AE}" pid="4" name="ICV">
    <vt:lpwstr>8326BC21310144C494BC34E59B4FD580_13</vt:lpwstr>
  </property>
</Properties>
</file>