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0011A">
      <w:pPr>
        <w:spacing w:line="480" w:lineRule="exact"/>
        <w:ind w:firstLine="200"/>
        <w:jc w:val="center"/>
        <w:rPr>
          <w:rFonts w:ascii="宋体"/>
          <w:b/>
          <w:bCs/>
          <w:color w:val="000000"/>
          <w:sz w:val="32"/>
          <w:szCs w:val="32"/>
        </w:rPr>
      </w:pPr>
      <w:bookmarkStart w:id="15" w:name="_GoBack"/>
      <w:bookmarkEnd w:id="15"/>
      <w:r>
        <w:rPr>
          <w:rFonts w:hint="eastAsia" w:ascii="宋体" w:hAnsi="宋体" w:cs="宋体"/>
          <w:b/>
          <w:bCs/>
          <w:color w:val="000000"/>
          <w:sz w:val="32"/>
          <w:szCs w:val="32"/>
        </w:rPr>
        <w:t>江油市人民医院</w:t>
      </w:r>
    </w:p>
    <w:p w14:paraId="11DE8142">
      <w:pPr>
        <w:spacing w:line="480" w:lineRule="exact"/>
        <w:jc w:val="center"/>
        <w:rPr>
          <w:rFonts w:hint="eastAsia" w:ascii="宋体" w:hAnsi="宋体" w:cs="宋体" w:eastAsiaTheme="minorEastAsia"/>
          <w:color w:val="000000"/>
          <w:lang w:val="en-US" w:eastAsia="zh-CN"/>
        </w:rPr>
      </w:pPr>
      <w:r>
        <w:rPr>
          <w:rFonts w:hint="eastAsia" w:ascii="宋体" w:hAnsi="宋体" w:cs="宋体"/>
          <w:b/>
          <w:bCs/>
          <w:color w:val="000000"/>
          <w:sz w:val="32"/>
          <w:szCs w:val="32"/>
          <w:lang w:val="en-US" w:eastAsia="zh-CN"/>
        </w:rPr>
        <w:t>体检中心改造项目监理服务</w:t>
      </w:r>
      <w:bookmarkStart w:id="0" w:name="_Toc232906831"/>
      <w:bookmarkStart w:id="1" w:name="_Toc222653201"/>
      <w:bookmarkStart w:id="2" w:name="_Toc18883"/>
      <w:bookmarkStart w:id="3" w:name="_Toc248500941"/>
      <w:bookmarkStart w:id="4" w:name="_Toc185047237"/>
      <w:r>
        <w:rPr>
          <w:rFonts w:hint="eastAsia" w:ascii="宋体" w:hAnsi="宋体" w:cs="宋体"/>
          <w:b/>
          <w:bCs/>
          <w:color w:val="000000"/>
          <w:sz w:val="32"/>
          <w:szCs w:val="32"/>
          <w:lang w:val="en-US" w:eastAsia="zh-CN"/>
        </w:rPr>
        <w:t>采购需求</w:t>
      </w:r>
    </w:p>
    <w:bookmarkEnd w:id="0"/>
    <w:bookmarkEnd w:id="1"/>
    <w:bookmarkEnd w:id="2"/>
    <w:bookmarkEnd w:id="3"/>
    <w:bookmarkEnd w:id="4"/>
    <w:p w14:paraId="3D902AA4">
      <w:pPr>
        <w:spacing w:line="480" w:lineRule="exact"/>
        <w:ind w:firstLine="200"/>
        <w:jc w:val="left"/>
        <w:rPr>
          <w:rFonts w:hint="default" w:ascii="宋体" w:eastAsiaTheme="minorEastAsia"/>
          <w:b w:val="0"/>
          <w:bCs w:val="0"/>
          <w:color w:val="000000"/>
          <w:sz w:val="24"/>
          <w:szCs w:val="24"/>
          <w:lang w:val="en-US" w:eastAsia="zh-CN"/>
        </w:rPr>
      </w:pPr>
    </w:p>
    <w:p w14:paraId="124E8503">
      <w:pPr>
        <w:pStyle w:val="2"/>
        <w:spacing w:line="430" w:lineRule="exact"/>
        <w:rPr>
          <w:rFonts w:hint="eastAsia" w:ascii="仿宋_GB2312" w:hAnsi="仿宋_GB2312" w:eastAsia="仿宋_GB2312" w:cs="仿宋_GB2312"/>
          <w:b w:val="0"/>
          <w:bCs w:val="0"/>
          <w:color w:val="000000"/>
          <w:sz w:val="30"/>
          <w:szCs w:val="30"/>
        </w:rPr>
      </w:pPr>
      <w:bookmarkStart w:id="5" w:name="_Toc185047238"/>
      <w:bookmarkStart w:id="6" w:name="_Toc31441"/>
      <w:bookmarkStart w:id="7" w:name="_Toc232906832"/>
      <w:bookmarkStart w:id="8" w:name="_Toc248500942"/>
      <w:bookmarkStart w:id="9" w:name="_Toc222653202"/>
      <w:r>
        <w:rPr>
          <w:rFonts w:hint="eastAsia" w:ascii="仿宋_GB2312" w:hAnsi="仿宋_GB2312" w:eastAsia="仿宋_GB2312" w:cs="仿宋_GB2312"/>
          <w:b w:val="0"/>
          <w:bCs w:val="0"/>
          <w:color w:val="000000"/>
          <w:sz w:val="30"/>
          <w:szCs w:val="30"/>
          <w:lang w:val="en-US" w:eastAsia="zh-CN"/>
        </w:rPr>
        <w:t>一、</w:t>
      </w:r>
      <w:r>
        <w:rPr>
          <w:rFonts w:hint="eastAsia" w:ascii="仿宋_GB2312" w:hAnsi="仿宋_GB2312" w:eastAsia="仿宋_GB2312" w:cs="仿宋_GB2312"/>
          <w:b w:val="0"/>
          <w:bCs w:val="0"/>
          <w:color w:val="000000"/>
          <w:sz w:val="30"/>
          <w:szCs w:val="30"/>
        </w:rPr>
        <w:t>招标范围</w:t>
      </w:r>
      <w:bookmarkEnd w:id="5"/>
      <w:bookmarkEnd w:id="6"/>
      <w:bookmarkEnd w:id="7"/>
      <w:bookmarkEnd w:id="8"/>
      <w:bookmarkEnd w:id="9"/>
    </w:p>
    <w:p w14:paraId="3AF94C52">
      <w:pPr>
        <w:ind w:firstLine="576" w:firstLineChars="200"/>
        <w:rPr>
          <w:rFonts w:hint="eastAsia" w:ascii="仿宋_GB2312" w:hAnsi="仿宋_GB2312" w:eastAsia="仿宋_GB2312" w:cs="仿宋_GB2312"/>
          <w:b w:val="0"/>
          <w:bCs w:val="0"/>
          <w:color w:val="000000"/>
          <w:spacing w:val="-6"/>
          <w:kern w:val="2"/>
          <w:sz w:val="30"/>
          <w:szCs w:val="30"/>
          <w:lang w:val="en-US" w:eastAsia="zh-CN" w:bidi="ar-SA"/>
        </w:rPr>
      </w:pPr>
      <w:bookmarkStart w:id="10" w:name="_Toc185047239"/>
      <w:r>
        <w:rPr>
          <w:rFonts w:hint="eastAsia" w:ascii="仿宋_GB2312" w:hAnsi="仿宋_GB2312" w:eastAsia="仿宋_GB2312" w:cs="仿宋_GB2312"/>
          <w:b w:val="0"/>
          <w:bCs w:val="0"/>
          <w:color w:val="000000"/>
          <w:spacing w:val="-6"/>
          <w:kern w:val="2"/>
          <w:sz w:val="30"/>
          <w:szCs w:val="30"/>
          <w:lang w:val="en-US" w:eastAsia="zh-CN" w:bidi="ar-SA"/>
        </w:rPr>
        <w:t>招标范围：江油市人民医院体检中心改造项目监理服务。</w:t>
      </w:r>
    </w:p>
    <w:p w14:paraId="07BA6DA4">
      <w:pPr>
        <w:numPr>
          <w:ilvl w:val="0"/>
          <w:numId w:val="0"/>
        </w:numPr>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二、项目预算：</w:t>
      </w:r>
    </w:p>
    <w:p w14:paraId="39114C5D">
      <w:pPr>
        <w:numPr>
          <w:ilvl w:val="0"/>
          <w:numId w:val="0"/>
        </w:numPr>
        <w:ind w:firstLine="576" w:firstLineChars="200"/>
        <w:rPr>
          <w:rFonts w:hint="default"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本次服务招标限价：57739元（超过报价视为无效报价）</w:t>
      </w:r>
    </w:p>
    <w:p w14:paraId="675A2AE5">
      <w:pPr>
        <w:pStyle w:val="2"/>
        <w:spacing w:line="430" w:lineRule="exact"/>
        <w:rPr>
          <w:rFonts w:hint="eastAsia" w:ascii="仿宋_GB2312" w:hAnsi="仿宋_GB2312" w:eastAsia="仿宋_GB2312" w:cs="仿宋_GB2312"/>
          <w:b w:val="0"/>
          <w:bCs w:val="0"/>
          <w:color w:val="000000"/>
          <w:sz w:val="30"/>
          <w:szCs w:val="30"/>
        </w:rPr>
      </w:pPr>
      <w:bookmarkStart w:id="11" w:name="_Toc222653203"/>
      <w:bookmarkStart w:id="12" w:name="_Toc248500943"/>
      <w:bookmarkStart w:id="13" w:name="_Toc232906833"/>
      <w:bookmarkStart w:id="14" w:name="_Toc6875"/>
      <w:r>
        <w:rPr>
          <w:rFonts w:hint="eastAsia" w:ascii="仿宋_GB2312" w:hAnsi="仿宋_GB2312" w:eastAsia="仿宋_GB2312" w:cs="仿宋_GB2312"/>
          <w:b w:val="0"/>
          <w:bCs w:val="0"/>
          <w:color w:val="000000"/>
          <w:sz w:val="30"/>
          <w:szCs w:val="30"/>
          <w:lang w:val="en-US" w:eastAsia="zh-CN"/>
        </w:rPr>
        <w:t>三、</w:t>
      </w:r>
      <w:r>
        <w:rPr>
          <w:rFonts w:hint="eastAsia" w:ascii="仿宋_GB2312" w:hAnsi="仿宋_GB2312" w:eastAsia="仿宋_GB2312" w:cs="仿宋_GB2312"/>
          <w:b w:val="0"/>
          <w:bCs w:val="0"/>
          <w:color w:val="000000"/>
          <w:sz w:val="30"/>
          <w:szCs w:val="30"/>
        </w:rPr>
        <w:t>投标人要求</w:t>
      </w:r>
      <w:bookmarkEnd w:id="10"/>
      <w:bookmarkEnd w:id="11"/>
      <w:bookmarkEnd w:id="12"/>
      <w:bookmarkEnd w:id="13"/>
      <w:r>
        <w:rPr>
          <w:rFonts w:hint="eastAsia" w:ascii="仿宋_GB2312" w:hAnsi="仿宋_GB2312" w:eastAsia="仿宋_GB2312" w:cs="仿宋_GB2312"/>
          <w:b w:val="0"/>
          <w:bCs w:val="0"/>
          <w:color w:val="000000"/>
          <w:sz w:val="30"/>
          <w:szCs w:val="30"/>
        </w:rPr>
        <w:t>：</w:t>
      </w:r>
      <w:bookmarkEnd w:id="14"/>
    </w:p>
    <w:p w14:paraId="1064C3FD">
      <w:pPr>
        <w:pStyle w:val="7"/>
        <w:spacing w:line="43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投标人须具备行政主管部门颁发的房屋建筑工程监理丙级及以上资质。</w:t>
      </w:r>
    </w:p>
    <w:p w14:paraId="10A3CCF1">
      <w:pPr>
        <w:autoSpaceDE w:val="0"/>
        <w:autoSpaceDN w:val="0"/>
        <w:adjustRightInd w:val="0"/>
        <w:snapToGrid w:val="0"/>
        <w:spacing w:line="438" w:lineRule="exact"/>
        <w:ind w:right="-23"/>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四、谈判方式：综合评分</w:t>
      </w:r>
    </w:p>
    <w:p w14:paraId="40A91742">
      <w:pPr>
        <w:autoSpaceDE w:val="0"/>
        <w:autoSpaceDN w:val="0"/>
        <w:adjustRightInd w:val="0"/>
        <w:snapToGrid w:val="0"/>
        <w:spacing w:line="438" w:lineRule="exact"/>
        <w:ind w:right="-23"/>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五、其他要求：</w:t>
      </w:r>
    </w:p>
    <w:p w14:paraId="2DA2AF24">
      <w:pPr>
        <w:autoSpaceDE w:val="0"/>
        <w:autoSpaceDN w:val="0"/>
        <w:adjustRightInd w:val="0"/>
        <w:snapToGrid w:val="0"/>
        <w:spacing w:line="438" w:lineRule="exact"/>
        <w:ind w:right="-23"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1.中标方需自行解决住宿及就餐问题。</w:t>
      </w:r>
    </w:p>
    <w:p w14:paraId="5E2B3B2D">
      <w:pPr>
        <w:autoSpaceDE w:val="0"/>
        <w:autoSpaceDN w:val="0"/>
        <w:adjustRightInd w:val="0"/>
        <w:snapToGrid w:val="0"/>
        <w:spacing w:line="438" w:lineRule="exact"/>
        <w:ind w:right="-23"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2.如出现质量问题影响工期或后续使用，招标人有权对中标方予以扣除或不予支付服务费的处罚。</w:t>
      </w:r>
    </w:p>
    <w:p w14:paraId="3B046EB3">
      <w:pPr>
        <w:autoSpaceDE w:val="0"/>
        <w:autoSpaceDN w:val="0"/>
        <w:adjustRightInd w:val="0"/>
        <w:snapToGrid w:val="0"/>
        <w:spacing w:line="438" w:lineRule="exact"/>
        <w:ind w:right="-23"/>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六、付款方式：</w:t>
      </w:r>
    </w:p>
    <w:p w14:paraId="3D60A44A">
      <w:pPr>
        <w:autoSpaceDE w:val="0"/>
        <w:autoSpaceDN w:val="0"/>
        <w:adjustRightInd w:val="0"/>
        <w:snapToGrid w:val="0"/>
        <w:spacing w:line="438" w:lineRule="exact"/>
        <w:ind w:right="-23" w:firstLine="56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服务范围内项目全部竣工验收正式投入使用两个月后，无质量问题，配合采购人完成档案整理归档工作后，一次性付全部付清。</w:t>
      </w:r>
    </w:p>
    <w:p w14:paraId="477357DA">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七、评分细则</w:t>
      </w:r>
    </w:p>
    <w:p w14:paraId="59702394">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2338BDF4">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2CB661ED">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4622C9AB">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131EFCFF">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10525D57">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74A043BB">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43959FB3">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04EB692B">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1EEA3113">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3326465A">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564F4A10">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5D4E1F57">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771881C8">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45227E0D">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405120DF">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tbl>
      <w:tblPr>
        <w:tblStyle w:val="12"/>
        <w:tblW w:w="8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549"/>
        <w:gridCol w:w="1298"/>
        <w:gridCol w:w="5554"/>
        <w:gridCol w:w="884"/>
      </w:tblGrid>
      <w:tr w14:paraId="5E252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4" w:type="dxa"/>
            <w:vAlign w:val="top"/>
          </w:tcPr>
          <w:p w14:paraId="008286B0">
            <w:pPr>
              <w:pStyle w:val="11"/>
              <w:spacing w:before="105" w:line="221" w:lineRule="auto"/>
              <w:ind w:left="114"/>
            </w:pPr>
            <w:r>
              <w:rPr>
                <w:spacing w:val="6"/>
              </w:rPr>
              <w:t>序号</w:t>
            </w:r>
          </w:p>
        </w:tc>
        <w:tc>
          <w:tcPr>
            <w:tcW w:w="1847" w:type="dxa"/>
            <w:gridSpan w:val="2"/>
            <w:vAlign w:val="top"/>
          </w:tcPr>
          <w:p w14:paraId="7789C683">
            <w:pPr>
              <w:pStyle w:val="11"/>
              <w:spacing w:before="104" w:line="219" w:lineRule="auto"/>
              <w:ind w:left="210"/>
            </w:pPr>
            <w:r>
              <w:rPr>
                <w:spacing w:val="-1"/>
              </w:rPr>
              <w:t>评分因素及分值</w:t>
            </w:r>
          </w:p>
        </w:tc>
        <w:tc>
          <w:tcPr>
            <w:tcW w:w="5554" w:type="dxa"/>
            <w:vAlign w:val="top"/>
          </w:tcPr>
          <w:p w14:paraId="002ACCF8">
            <w:pPr>
              <w:pStyle w:val="11"/>
              <w:spacing w:before="104" w:line="220" w:lineRule="auto"/>
              <w:ind w:left="2353"/>
            </w:pPr>
            <w:r>
              <w:rPr>
                <w:spacing w:val="-2"/>
              </w:rPr>
              <w:t>评分标准</w:t>
            </w:r>
          </w:p>
        </w:tc>
        <w:tc>
          <w:tcPr>
            <w:tcW w:w="884" w:type="dxa"/>
            <w:vAlign w:val="top"/>
          </w:tcPr>
          <w:p w14:paraId="20DCA355">
            <w:pPr>
              <w:pStyle w:val="11"/>
              <w:spacing w:before="105" w:line="221" w:lineRule="auto"/>
              <w:ind w:left="239"/>
            </w:pPr>
            <w:r>
              <w:rPr>
                <w:spacing w:val="5"/>
              </w:rPr>
              <w:t>备注</w:t>
            </w:r>
          </w:p>
        </w:tc>
      </w:tr>
      <w:tr w14:paraId="14BF8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94" w:type="dxa"/>
            <w:vAlign w:val="top"/>
          </w:tcPr>
          <w:p w14:paraId="1FCDED4E">
            <w:pPr>
              <w:spacing w:line="340" w:lineRule="auto"/>
              <w:rPr>
                <w:rFonts w:ascii="Arial"/>
                <w:sz w:val="21"/>
              </w:rPr>
            </w:pPr>
          </w:p>
          <w:p w14:paraId="7454ECA0">
            <w:pPr>
              <w:pStyle w:val="11"/>
              <w:spacing w:before="72" w:line="184" w:lineRule="auto"/>
              <w:ind w:left="285"/>
            </w:pPr>
            <w:r>
              <w:t>1</w:t>
            </w:r>
          </w:p>
        </w:tc>
        <w:tc>
          <w:tcPr>
            <w:tcW w:w="1847" w:type="dxa"/>
            <w:gridSpan w:val="2"/>
            <w:vAlign w:val="top"/>
          </w:tcPr>
          <w:p w14:paraId="46137BE5">
            <w:pPr>
              <w:spacing w:line="283" w:lineRule="auto"/>
              <w:rPr>
                <w:rFonts w:ascii="Arial"/>
                <w:sz w:val="21"/>
              </w:rPr>
            </w:pPr>
          </w:p>
          <w:p w14:paraId="7FECDB1A">
            <w:pPr>
              <w:pStyle w:val="11"/>
              <w:spacing w:before="72" w:line="218" w:lineRule="auto"/>
              <w:ind w:left="310"/>
            </w:pPr>
            <w:r>
              <w:rPr>
                <w:spacing w:val="-2"/>
              </w:rPr>
              <w:t>报价</w:t>
            </w:r>
            <w:r>
              <w:rPr>
                <w:rFonts w:hint="eastAsia"/>
                <w:spacing w:val="-2"/>
                <w:lang w:val="en-US" w:eastAsia="zh-CN"/>
              </w:rPr>
              <w:t>20</w:t>
            </w:r>
            <w:r>
              <w:rPr>
                <w:spacing w:val="-2"/>
              </w:rPr>
              <w:t>分</w:t>
            </w:r>
          </w:p>
        </w:tc>
        <w:tc>
          <w:tcPr>
            <w:tcW w:w="5554" w:type="dxa"/>
            <w:vAlign w:val="top"/>
          </w:tcPr>
          <w:p w14:paraId="37ABE59D">
            <w:pPr>
              <w:pStyle w:val="11"/>
              <w:spacing w:before="6" w:line="258" w:lineRule="auto"/>
              <w:jc w:val="both"/>
              <w:rPr>
                <w:rFonts w:hint="default" w:eastAsia="宋体"/>
                <w:lang w:val="en-US" w:eastAsia="zh-CN"/>
              </w:rPr>
            </w:pPr>
            <w:r>
              <w:rPr>
                <w:spacing w:val="-2"/>
              </w:rPr>
              <w:t>满足要求且价格最低的报价为评标基</w:t>
            </w:r>
            <w:r>
              <w:t xml:space="preserve"> </w:t>
            </w:r>
            <w:r>
              <w:rPr>
                <w:spacing w:val="-11"/>
              </w:rPr>
              <w:t>准价，其价格分为满分。其他供应商的价格分统一按照下列</w:t>
            </w:r>
            <w:r>
              <w:rPr>
                <w:spacing w:val="4"/>
              </w:rPr>
              <w:t xml:space="preserve"> </w:t>
            </w:r>
            <w:r>
              <w:rPr>
                <w:spacing w:val="-7"/>
              </w:rPr>
              <w:t>公式计算：报价得分=(评标基准价÷报价)×</w:t>
            </w:r>
            <w:r>
              <w:rPr>
                <w:rFonts w:hint="eastAsia"/>
                <w:spacing w:val="-7"/>
                <w:lang w:val="en-US" w:eastAsia="zh-CN"/>
              </w:rPr>
              <w:t>20%</w:t>
            </w:r>
          </w:p>
        </w:tc>
        <w:tc>
          <w:tcPr>
            <w:tcW w:w="884" w:type="dxa"/>
            <w:vAlign w:val="top"/>
          </w:tcPr>
          <w:p w14:paraId="445CACBA">
            <w:pPr>
              <w:rPr>
                <w:rFonts w:ascii="Arial"/>
                <w:sz w:val="21"/>
              </w:rPr>
            </w:pPr>
          </w:p>
        </w:tc>
      </w:tr>
      <w:tr w14:paraId="792EF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694" w:type="dxa"/>
            <w:vMerge w:val="restart"/>
            <w:tcBorders>
              <w:bottom w:val="nil"/>
            </w:tcBorders>
            <w:vAlign w:val="top"/>
          </w:tcPr>
          <w:p w14:paraId="4C379F20">
            <w:pPr>
              <w:spacing w:line="243" w:lineRule="auto"/>
              <w:rPr>
                <w:rFonts w:ascii="Arial"/>
                <w:sz w:val="21"/>
              </w:rPr>
            </w:pPr>
          </w:p>
          <w:p w14:paraId="7EC3287F">
            <w:pPr>
              <w:spacing w:line="243" w:lineRule="auto"/>
              <w:rPr>
                <w:rFonts w:ascii="Arial"/>
                <w:sz w:val="21"/>
              </w:rPr>
            </w:pPr>
          </w:p>
          <w:p w14:paraId="4A9448E2">
            <w:pPr>
              <w:spacing w:line="243" w:lineRule="auto"/>
              <w:rPr>
                <w:rFonts w:ascii="Arial"/>
                <w:sz w:val="21"/>
              </w:rPr>
            </w:pPr>
          </w:p>
          <w:p w14:paraId="50D97031">
            <w:pPr>
              <w:spacing w:line="243" w:lineRule="auto"/>
              <w:rPr>
                <w:rFonts w:ascii="Arial"/>
                <w:sz w:val="21"/>
              </w:rPr>
            </w:pPr>
          </w:p>
          <w:p w14:paraId="78A9C98C">
            <w:pPr>
              <w:spacing w:line="243" w:lineRule="auto"/>
              <w:rPr>
                <w:rFonts w:ascii="Arial"/>
                <w:sz w:val="21"/>
              </w:rPr>
            </w:pPr>
          </w:p>
          <w:p w14:paraId="3874F278">
            <w:pPr>
              <w:spacing w:line="243" w:lineRule="auto"/>
              <w:rPr>
                <w:rFonts w:ascii="Arial"/>
                <w:sz w:val="21"/>
              </w:rPr>
            </w:pPr>
          </w:p>
          <w:p w14:paraId="4BEED312">
            <w:pPr>
              <w:spacing w:line="243" w:lineRule="auto"/>
              <w:rPr>
                <w:rFonts w:ascii="Arial"/>
                <w:sz w:val="21"/>
              </w:rPr>
            </w:pPr>
          </w:p>
          <w:p w14:paraId="7902388E">
            <w:pPr>
              <w:spacing w:line="243" w:lineRule="auto"/>
              <w:rPr>
                <w:rFonts w:ascii="Arial"/>
                <w:sz w:val="21"/>
              </w:rPr>
            </w:pPr>
          </w:p>
          <w:p w14:paraId="1B69058A">
            <w:pPr>
              <w:spacing w:line="243" w:lineRule="auto"/>
              <w:rPr>
                <w:rFonts w:ascii="Arial"/>
                <w:sz w:val="21"/>
              </w:rPr>
            </w:pPr>
          </w:p>
          <w:p w14:paraId="72872258">
            <w:pPr>
              <w:spacing w:line="243" w:lineRule="auto"/>
              <w:rPr>
                <w:rFonts w:ascii="Arial"/>
                <w:sz w:val="21"/>
              </w:rPr>
            </w:pPr>
          </w:p>
          <w:p w14:paraId="022B15E1">
            <w:pPr>
              <w:spacing w:line="243" w:lineRule="auto"/>
              <w:rPr>
                <w:rFonts w:ascii="Arial"/>
                <w:sz w:val="21"/>
              </w:rPr>
            </w:pPr>
          </w:p>
          <w:p w14:paraId="78AB50A3">
            <w:pPr>
              <w:spacing w:line="243" w:lineRule="auto"/>
              <w:rPr>
                <w:rFonts w:ascii="Arial"/>
                <w:sz w:val="21"/>
              </w:rPr>
            </w:pPr>
          </w:p>
          <w:p w14:paraId="5BF7DC33">
            <w:pPr>
              <w:spacing w:line="243" w:lineRule="auto"/>
              <w:rPr>
                <w:rFonts w:ascii="Arial"/>
                <w:sz w:val="21"/>
              </w:rPr>
            </w:pPr>
          </w:p>
          <w:p w14:paraId="31CE1C97">
            <w:pPr>
              <w:spacing w:line="243" w:lineRule="auto"/>
              <w:rPr>
                <w:rFonts w:ascii="Arial"/>
                <w:sz w:val="21"/>
              </w:rPr>
            </w:pPr>
          </w:p>
          <w:p w14:paraId="53D78FF1">
            <w:pPr>
              <w:spacing w:line="243" w:lineRule="auto"/>
              <w:rPr>
                <w:rFonts w:ascii="Arial"/>
                <w:sz w:val="21"/>
              </w:rPr>
            </w:pPr>
          </w:p>
          <w:p w14:paraId="372ABADD">
            <w:pPr>
              <w:spacing w:line="243" w:lineRule="auto"/>
              <w:rPr>
                <w:rFonts w:ascii="Arial"/>
                <w:sz w:val="21"/>
              </w:rPr>
            </w:pPr>
          </w:p>
          <w:p w14:paraId="7F8A3815">
            <w:pPr>
              <w:spacing w:line="243" w:lineRule="auto"/>
              <w:rPr>
                <w:rFonts w:ascii="Arial"/>
                <w:sz w:val="21"/>
              </w:rPr>
            </w:pPr>
          </w:p>
          <w:p w14:paraId="390AD98E">
            <w:pPr>
              <w:spacing w:line="244" w:lineRule="auto"/>
              <w:rPr>
                <w:rFonts w:ascii="Arial"/>
                <w:sz w:val="21"/>
              </w:rPr>
            </w:pPr>
          </w:p>
          <w:p w14:paraId="377F950E">
            <w:pPr>
              <w:spacing w:line="244" w:lineRule="auto"/>
              <w:rPr>
                <w:rFonts w:ascii="Arial"/>
                <w:sz w:val="21"/>
              </w:rPr>
            </w:pPr>
          </w:p>
          <w:p w14:paraId="20D938A9">
            <w:pPr>
              <w:spacing w:line="244" w:lineRule="auto"/>
              <w:rPr>
                <w:rFonts w:ascii="Arial"/>
                <w:sz w:val="21"/>
              </w:rPr>
            </w:pPr>
          </w:p>
          <w:p w14:paraId="6C1E4DE2">
            <w:pPr>
              <w:spacing w:line="244" w:lineRule="auto"/>
              <w:rPr>
                <w:rFonts w:ascii="Arial"/>
                <w:sz w:val="21"/>
              </w:rPr>
            </w:pPr>
          </w:p>
          <w:p w14:paraId="237923AD">
            <w:pPr>
              <w:spacing w:line="244" w:lineRule="auto"/>
              <w:rPr>
                <w:rFonts w:ascii="Arial"/>
                <w:sz w:val="21"/>
              </w:rPr>
            </w:pPr>
          </w:p>
          <w:p w14:paraId="2D361BC6">
            <w:pPr>
              <w:spacing w:line="244" w:lineRule="auto"/>
              <w:rPr>
                <w:rFonts w:ascii="Arial"/>
                <w:sz w:val="21"/>
              </w:rPr>
            </w:pPr>
          </w:p>
          <w:p w14:paraId="64D335E1">
            <w:pPr>
              <w:spacing w:line="244" w:lineRule="auto"/>
              <w:rPr>
                <w:rFonts w:ascii="Arial"/>
                <w:sz w:val="21"/>
              </w:rPr>
            </w:pPr>
          </w:p>
          <w:p w14:paraId="3C0BD723">
            <w:pPr>
              <w:pStyle w:val="11"/>
              <w:spacing w:before="71" w:line="183" w:lineRule="auto"/>
              <w:ind w:left="285"/>
            </w:pPr>
            <w:r>
              <w:t>2</w:t>
            </w:r>
          </w:p>
        </w:tc>
        <w:tc>
          <w:tcPr>
            <w:tcW w:w="549" w:type="dxa"/>
            <w:vMerge w:val="restart"/>
            <w:tcBorders>
              <w:bottom w:val="nil"/>
            </w:tcBorders>
            <w:vAlign w:val="top"/>
          </w:tcPr>
          <w:p w14:paraId="400DE60F">
            <w:pPr>
              <w:spacing w:line="250" w:lineRule="auto"/>
              <w:rPr>
                <w:rFonts w:ascii="Arial"/>
                <w:sz w:val="21"/>
              </w:rPr>
            </w:pPr>
          </w:p>
          <w:p w14:paraId="5A3BA4D8">
            <w:pPr>
              <w:spacing w:line="251" w:lineRule="auto"/>
              <w:rPr>
                <w:rFonts w:ascii="Arial"/>
                <w:sz w:val="21"/>
              </w:rPr>
            </w:pPr>
          </w:p>
          <w:p w14:paraId="5B394193">
            <w:pPr>
              <w:spacing w:line="251" w:lineRule="auto"/>
              <w:rPr>
                <w:rFonts w:ascii="Arial"/>
                <w:sz w:val="21"/>
              </w:rPr>
            </w:pPr>
          </w:p>
          <w:p w14:paraId="609A6EA5">
            <w:pPr>
              <w:spacing w:line="251" w:lineRule="auto"/>
              <w:rPr>
                <w:rFonts w:ascii="Arial"/>
                <w:sz w:val="21"/>
              </w:rPr>
            </w:pPr>
          </w:p>
          <w:p w14:paraId="2836787C">
            <w:pPr>
              <w:spacing w:line="251" w:lineRule="auto"/>
              <w:rPr>
                <w:rFonts w:ascii="Arial"/>
                <w:sz w:val="21"/>
              </w:rPr>
            </w:pPr>
          </w:p>
          <w:p w14:paraId="7CE8E437">
            <w:pPr>
              <w:spacing w:line="251" w:lineRule="auto"/>
              <w:rPr>
                <w:rFonts w:ascii="Arial"/>
                <w:sz w:val="21"/>
              </w:rPr>
            </w:pPr>
          </w:p>
          <w:p w14:paraId="76FB509E">
            <w:pPr>
              <w:spacing w:line="251" w:lineRule="auto"/>
              <w:rPr>
                <w:rFonts w:ascii="Arial"/>
                <w:sz w:val="21"/>
              </w:rPr>
            </w:pPr>
          </w:p>
          <w:p w14:paraId="135BF559">
            <w:pPr>
              <w:spacing w:line="251" w:lineRule="auto"/>
              <w:rPr>
                <w:rFonts w:ascii="Arial"/>
                <w:sz w:val="21"/>
              </w:rPr>
            </w:pPr>
          </w:p>
          <w:p w14:paraId="20874EEC">
            <w:pPr>
              <w:spacing w:line="251" w:lineRule="auto"/>
              <w:rPr>
                <w:rFonts w:ascii="Arial"/>
                <w:sz w:val="21"/>
              </w:rPr>
            </w:pPr>
          </w:p>
          <w:p w14:paraId="7A9FCD75">
            <w:pPr>
              <w:spacing w:line="251" w:lineRule="auto"/>
              <w:rPr>
                <w:rFonts w:ascii="Arial"/>
                <w:sz w:val="21"/>
              </w:rPr>
            </w:pPr>
          </w:p>
          <w:p w14:paraId="6CEE7764">
            <w:pPr>
              <w:spacing w:line="251" w:lineRule="auto"/>
              <w:rPr>
                <w:rFonts w:ascii="Arial"/>
                <w:sz w:val="21"/>
              </w:rPr>
            </w:pPr>
          </w:p>
          <w:p w14:paraId="6B2B1EB6">
            <w:pPr>
              <w:spacing w:line="251" w:lineRule="auto"/>
              <w:rPr>
                <w:rFonts w:ascii="Arial"/>
                <w:sz w:val="21"/>
              </w:rPr>
            </w:pPr>
          </w:p>
          <w:p w14:paraId="3F63D436">
            <w:pPr>
              <w:spacing w:line="251" w:lineRule="auto"/>
              <w:rPr>
                <w:rFonts w:ascii="Arial"/>
                <w:sz w:val="21"/>
              </w:rPr>
            </w:pPr>
          </w:p>
          <w:p w14:paraId="21C5EB49">
            <w:pPr>
              <w:spacing w:line="251" w:lineRule="auto"/>
              <w:rPr>
                <w:rFonts w:ascii="Arial"/>
                <w:sz w:val="21"/>
              </w:rPr>
            </w:pPr>
          </w:p>
          <w:p w14:paraId="333F1597">
            <w:pPr>
              <w:spacing w:line="251" w:lineRule="auto"/>
              <w:rPr>
                <w:rFonts w:ascii="Arial"/>
                <w:sz w:val="21"/>
              </w:rPr>
            </w:pPr>
          </w:p>
          <w:p w14:paraId="3F805903">
            <w:pPr>
              <w:spacing w:line="251" w:lineRule="auto"/>
              <w:rPr>
                <w:rFonts w:ascii="Arial"/>
                <w:sz w:val="21"/>
              </w:rPr>
            </w:pPr>
          </w:p>
          <w:p w14:paraId="396B8166">
            <w:pPr>
              <w:spacing w:line="251" w:lineRule="auto"/>
              <w:rPr>
                <w:rFonts w:ascii="Arial"/>
                <w:sz w:val="21"/>
              </w:rPr>
            </w:pPr>
          </w:p>
          <w:p w14:paraId="65BDAF21">
            <w:pPr>
              <w:spacing w:line="251" w:lineRule="auto"/>
              <w:rPr>
                <w:rFonts w:ascii="Arial"/>
                <w:sz w:val="21"/>
              </w:rPr>
            </w:pPr>
          </w:p>
          <w:p w14:paraId="00846BEA">
            <w:pPr>
              <w:spacing w:line="251" w:lineRule="auto"/>
              <w:rPr>
                <w:rFonts w:ascii="Arial"/>
                <w:sz w:val="21"/>
              </w:rPr>
            </w:pPr>
          </w:p>
          <w:p w14:paraId="1EB398CE">
            <w:pPr>
              <w:spacing w:line="251" w:lineRule="auto"/>
              <w:rPr>
                <w:rFonts w:ascii="Arial"/>
                <w:sz w:val="21"/>
              </w:rPr>
            </w:pPr>
          </w:p>
          <w:p w14:paraId="2F322ED8">
            <w:pPr>
              <w:pStyle w:val="11"/>
              <w:spacing w:before="71" w:line="252" w:lineRule="auto"/>
              <w:ind w:left="151" w:right="177"/>
              <w:jc w:val="both"/>
            </w:pPr>
            <w:r>
              <w:rPr>
                <w:spacing w:val="-10"/>
              </w:rPr>
              <w:t>监</w:t>
            </w:r>
            <w:r>
              <w:t xml:space="preserve"> </w:t>
            </w:r>
            <w:r>
              <w:rPr>
                <w:spacing w:val="-12"/>
              </w:rPr>
              <w:t>理</w:t>
            </w:r>
            <w:r>
              <w:t xml:space="preserve"> </w:t>
            </w:r>
            <w:r>
              <w:rPr>
                <w:spacing w:val="-12"/>
              </w:rPr>
              <w:t>大</w:t>
            </w:r>
            <w:r>
              <w:t xml:space="preserve"> </w:t>
            </w:r>
            <w:r>
              <w:rPr>
                <w:spacing w:val="-13"/>
              </w:rPr>
              <w:t>纲</w:t>
            </w:r>
          </w:p>
          <w:p w14:paraId="507F00C0">
            <w:pPr>
              <w:pStyle w:val="11"/>
              <w:spacing w:before="104" w:line="220" w:lineRule="auto"/>
              <w:ind w:left="151" w:right="179"/>
            </w:pPr>
            <w:r>
              <w:rPr>
                <w:spacing w:val="-7"/>
              </w:rPr>
              <w:t>5</w:t>
            </w:r>
            <w:r>
              <w:rPr>
                <w:rFonts w:hint="eastAsia"/>
                <w:spacing w:val="-7"/>
                <w:lang w:val="en-US" w:eastAsia="zh-CN"/>
              </w:rPr>
              <w:t>4</w:t>
            </w:r>
            <w:r>
              <w:t xml:space="preserve"> </w:t>
            </w:r>
            <w:r>
              <w:rPr>
                <w:spacing w:val="-12"/>
              </w:rPr>
              <w:t>分</w:t>
            </w:r>
          </w:p>
        </w:tc>
        <w:tc>
          <w:tcPr>
            <w:tcW w:w="1298" w:type="dxa"/>
            <w:vAlign w:val="top"/>
          </w:tcPr>
          <w:p w14:paraId="482C0D24">
            <w:pPr>
              <w:spacing w:line="278" w:lineRule="auto"/>
              <w:rPr>
                <w:rFonts w:ascii="Arial"/>
                <w:sz w:val="21"/>
              </w:rPr>
            </w:pPr>
          </w:p>
          <w:p w14:paraId="0DC6F8F0">
            <w:pPr>
              <w:spacing w:line="278" w:lineRule="auto"/>
              <w:rPr>
                <w:rFonts w:ascii="Arial"/>
                <w:sz w:val="21"/>
              </w:rPr>
            </w:pPr>
          </w:p>
          <w:p w14:paraId="5B7F49B6">
            <w:pPr>
              <w:spacing w:line="278" w:lineRule="auto"/>
              <w:rPr>
                <w:rFonts w:ascii="Arial"/>
                <w:sz w:val="21"/>
              </w:rPr>
            </w:pPr>
          </w:p>
          <w:p w14:paraId="2762D0A9">
            <w:pPr>
              <w:spacing w:line="278" w:lineRule="auto"/>
              <w:rPr>
                <w:rFonts w:ascii="Arial"/>
                <w:sz w:val="21"/>
              </w:rPr>
            </w:pPr>
          </w:p>
          <w:p w14:paraId="6E4EEE4D">
            <w:pPr>
              <w:spacing w:line="278" w:lineRule="auto"/>
              <w:rPr>
                <w:rFonts w:ascii="Arial"/>
                <w:sz w:val="21"/>
              </w:rPr>
            </w:pPr>
          </w:p>
          <w:p w14:paraId="756D9EC2">
            <w:pPr>
              <w:pStyle w:val="11"/>
              <w:spacing w:before="72" w:line="247" w:lineRule="auto"/>
              <w:ind w:left="91" w:right="83"/>
            </w:pPr>
            <w:r>
              <w:rPr>
                <w:spacing w:val="2"/>
              </w:rPr>
              <w:t>质量控制措</w:t>
            </w:r>
            <w:r>
              <w:rPr>
                <w:spacing w:val="1"/>
              </w:rPr>
              <w:t xml:space="preserve"> </w:t>
            </w:r>
            <w:r>
              <w:rPr>
                <w:spacing w:val="-2"/>
              </w:rPr>
              <w:t>施12分</w:t>
            </w:r>
          </w:p>
        </w:tc>
        <w:tc>
          <w:tcPr>
            <w:tcW w:w="5554" w:type="dxa"/>
            <w:vAlign w:val="top"/>
          </w:tcPr>
          <w:p w14:paraId="749D77B6">
            <w:pPr>
              <w:pStyle w:val="11"/>
              <w:spacing w:before="40" w:line="247" w:lineRule="auto"/>
              <w:ind w:left="74" w:firstLine="239"/>
            </w:pPr>
            <w:r>
              <w:rPr>
                <w:spacing w:val="-2"/>
              </w:rPr>
              <w:t>供应商针对本项目提供的质量控制措施至少</w:t>
            </w:r>
            <w:r>
              <w:rPr>
                <w:spacing w:val="-3"/>
              </w:rPr>
              <w:t>包括以</w:t>
            </w:r>
            <w:r>
              <w:rPr>
                <w:spacing w:val="-1"/>
              </w:rPr>
              <w:t>下内容：</w:t>
            </w:r>
          </w:p>
          <w:p w14:paraId="363C9910">
            <w:pPr>
              <w:pStyle w:val="11"/>
              <w:spacing w:before="60" w:line="247" w:lineRule="auto"/>
              <w:ind w:left="323" w:right="1691"/>
            </w:pPr>
            <w:r>
              <w:t>1.审查施工承包单位的质量控制目标</w:t>
            </w:r>
            <w:r>
              <w:rPr>
                <w:spacing w:val="7"/>
              </w:rPr>
              <w:t xml:space="preserve"> </w:t>
            </w:r>
            <w:r>
              <w:rPr>
                <w:spacing w:val="1"/>
              </w:rPr>
              <w:t>2.管理体系方案</w:t>
            </w:r>
          </w:p>
          <w:p w14:paraId="1767C157">
            <w:pPr>
              <w:pStyle w:val="11"/>
              <w:spacing w:before="42" w:line="220" w:lineRule="auto"/>
              <w:ind w:left="323"/>
            </w:pPr>
            <w:r>
              <w:t>3.质量的事前、中、后的控制措施</w:t>
            </w:r>
          </w:p>
          <w:p w14:paraId="475F777D">
            <w:pPr>
              <w:pStyle w:val="11"/>
              <w:spacing w:before="37" w:line="219" w:lineRule="auto"/>
              <w:ind w:left="323"/>
            </w:pPr>
            <w:r>
              <w:rPr>
                <w:spacing w:val="-1"/>
              </w:rPr>
              <w:t>4.施工承包单位的关键节点的质量控制措施</w:t>
            </w:r>
          </w:p>
          <w:p w14:paraId="7FB6F402">
            <w:pPr>
              <w:pStyle w:val="11"/>
              <w:spacing w:before="77" w:line="219" w:lineRule="auto"/>
              <w:jc w:val="both"/>
            </w:pPr>
            <w:r>
              <w:rPr>
                <w:rFonts w:hint="eastAsia"/>
                <w:spacing w:val="-12"/>
                <w:lang w:val="en-US" w:eastAsia="zh-CN"/>
              </w:rPr>
              <w:t>每项3分，共计12分，</w:t>
            </w:r>
            <w:r>
              <w:rPr>
                <w:spacing w:val="-12"/>
              </w:rPr>
              <w:t>结合项目</w:t>
            </w:r>
            <w:r>
              <w:rPr>
                <w:spacing w:val="-11"/>
              </w:rPr>
              <w:t>实际情况具有针对性，对项目分析</w:t>
            </w:r>
            <w:r>
              <w:rPr>
                <w:spacing w:val="-12"/>
              </w:rPr>
              <w:t>透彻，措施</w:t>
            </w:r>
            <w:r>
              <w:rPr>
                <w:spacing w:val="-8"/>
              </w:rPr>
              <w:t>科</w:t>
            </w:r>
            <w:r>
              <w:rPr>
                <w:spacing w:val="-11"/>
              </w:rPr>
              <w:t>学合理，清晰，阐述详细且具备良好的可实施性</w:t>
            </w:r>
            <w:r>
              <w:rPr>
                <w:rFonts w:hint="eastAsia"/>
                <w:spacing w:val="-11"/>
                <w:lang w:eastAsia="zh-CN"/>
              </w:rPr>
              <w:t>，</w:t>
            </w:r>
            <w:r>
              <w:rPr>
                <w:rFonts w:hint="eastAsia"/>
                <w:spacing w:val="-11"/>
                <w:lang w:val="en-US" w:eastAsia="zh-CN"/>
              </w:rPr>
              <w:t>每项得3分</w:t>
            </w:r>
            <w:r>
              <w:rPr>
                <w:spacing w:val="-11"/>
              </w:rPr>
              <w:t>；</w:t>
            </w:r>
            <w:r>
              <w:rPr>
                <w:spacing w:val="9"/>
              </w:rPr>
              <w:t xml:space="preserve"> </w:t>
            </w:r>
            <w:r>
              <w:rPr>
                <w:spacing w:val="-7"/>
              </w:rPr>
              <w:t>方案中</w:t>
            </w:r>
            <w:r>
              <w:rPr>
                <w:rFonts w:hint="eastAsia"/>
                <w:spacing w:val="-7"/>
                <w:lang w:val="en-US" w:eastAsia="zh-CN"/>
              </w:rPr>
              <w:t>每项</w:t>
            </w:r>
            <w:r>
              <w:rPr>
                <w:spacing w:val="-7"/>
              </w:rPr>
              <w:t>每有一处</w:t>
            </w:r>
            <w:r>
              <w:rPr>
                <w:rFonts w:hint="eastAsia"/>
                <w:spacing w:val="-7"/>
                <w:lang w:val="en-US" w:eastAsia="zh-CN"/>
              </w:rPr>
              <w:t>与项目实际不完全相符</w:t>
            </w:r>
            <w:r>
              <w:rPr>
                <w:spacing w:val="-7"/>
              </w:rPr>
              <w:t>或有逻辑性错误或不具有针对</w:t>
            </w:r>
            <w:r>
              <w:rPr>
                <w:spacing w:val="-6"/>
              </w:rPr>
              <w:t>性的扣</w:t>
            </w:r>
            <w:r>
              <w:rPr>
                <w:rFonts w:hint="eastAsia"/>
                <w:spacing w:val="-6"/>
                <w:lang w:val="en-US" w:eastAsia="zh-CN"/>
              </w:rPr>
              <w:t>1</w:t>
            </w:r>
            <w:r>
              <w:rPr>
                <w:spacing w:val="-6"/>
              </w:rPr>
              <w:t>分</w:t>
            </w:r>
            <w:r>
              <w:rPr>
                <w:rFonts w:hint="eastAsia"/>
                <w:spacing w:val="-6"/>
                <w:lang w:eastAsia="zh-CN"/>
              </w:rPr>
              <w:t>，</w:t>
            </w:r>
            <w:r>
              <w:rPr>
                <w:rFonts w:hint="eastAsia"/>
                <w:spacing w:val="-6"/>
                <w:lang w:val="en-US" w:eastAsia="zh-CN"/>
              </w:rPr>
              <w:t>每项最多扣3分</w:t>
            </w:r>
            <w:r>
              <w:rPr>
                <w:spacing w:val="-6"/>
              </w:rPr>
              <w:t>；每缺少一项内容扣3</w:t>
            </w:r>
            <w:r>
              <w:rPr>
                <w:spacing w:val="-3"/>
              </w:rPr>
              <w:t>分。</w:t>
            </w:r>
          </w:p>
        </w:tc>
        <w:tc>
          <w:tcPr>
            <w:tcW w:w="884" w:type="dxa"/>
            <w:vMerge w:val="restart"/>
            <w:tcBorders>
              <w:bottom w:val="nil"/>
            </w:tcBorders>
            <w:vAlign w:val="top"/>
          </w:tcPr>
          <w:p w14:paraId="0C9CE3A6">
            <w:pPr>
              <w:rPr>
                <w:rFonts w:ascii="Arial"/>
                <w:sz w:val="21"/>
              </w:rPr>
            </w:pPr>
          </w:p>
        </w:tc>
      </w:tr>
      <w:tr w14:paraId="4994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694" w:type="dxa"/>
            <w:vMerge w:val="continue"/>
            <w:tcBorders>
              <w:top w:val="nil"/>
              <w:bottom w:val="nil"/>
            </w:tcBorders>
            <w:vAlign w:val="top"/>
          </w:tcPr>
          <w:p w14:paraId="3B3892F4">
            <w:pPr>
              <w:rPr>
                <w:rFonts w:ascii="Arial"/>
                <w:sz w:val="21"/>
              </w:rPr>
            </w:pPr>
          </w:p>
        </w:tc>
        <w:tc>
          <w:tcPr>
            <w:tcW w:w="549" w:type="dxa"/>
            <w:vMerge w:val="continue"/>
            <w:tcBorders>
              <w:top w:val="nil"/>
              <w:bottom w:val="nil"/>
            </w:tcBorders>
            <w:vAlign w:val="top"/>
          </w:tcPr>
          <w:p w14:paraId="44C3EF9B">
            <w:pPr>
              <w:rPr>
                <w:rFonts w:ascii="Arial"/>
                <w:sz w:val="21"/>
              </w:rPr>
            </w:pPr>
          </w:p>
        </w:tc>
        <w:tc>
          <w:tcPr>
            <w:tcW w:w="1298" w:type="dxa"/>
            <w:vAlign w:val="top"/>
          </w:tcPr>
          <w:p w14:paraId="1810544C">
            <w:pPr>
              <w:spacing w:line="278" w:lineRule="auto"/>
              <w:rPr>
                <w:rFonts w:ascii="Arial"/>
                <w:sz w:val="21"/>
              </w:rPr>
            </w:pPr>
          </w:p>
          <w:p w14:paraId="5C70AC90">
            <w:pPr>
              <w:spacing w:line="279" w:lineRule="auto"/>
              <w:rPr>
                <w:rFonts w:ascii="Arial"/>
                <w:sz w:val="21"/>
              </w:rPr>
            </w:pPr>
          </w:p>
          <w:p w14:paraId="21692B41">
            <w:pPr>
              <w:spacing w:line="279" w:lineRule="auto"/>
              <w:rPr>
                <w:rFonts w:ascii="Arial"/>
                <w:sz w:val="21"/>
              </w:rPr>
            </w:pPr>
          </w:p>
          <w:p w14:paraId="783D88CF">
            <w:pPr>
              <w:spacing w:line="279" w:lineRule="auto"/>
              <w:rPr>
                <w:rFonts w:ascii="Arial"/>
                <w:sz w:val="21"/>
              </w:rPr>
            </w:pPr>
          </w:p>
          <w:p w14:paraId="0CE7F6DF">
            <w:pPr>
              <w:spacing w:line="279" w:lineRule="auto"/>
              <w:rPr>
                <w:rFonts w:ascii="Arial"/>
                <w:sz w:val="21"/>
              </w:rPr>
            </w:pPr>
          </w:p>
          <w:p w14:paraId="3C35F498">
            <w:pPr>
              <w:pStyle w:val="11"/>
              <w:spacing w:before="71" w:line="247" w:lineRule="auto"/>
              <w:ind w:left="91" w:right="83"/>
            </w:pPr>
            <w:r>
              <w:rPr>
                <w:spacing w:val="2"/>
              </w:rPr>
              <w:t>安全控制措</w:t>
            </w:r>
            <w:r>
              <w:rPr>
                <w:spacing w:val="1"/>
              </w:rPr>
              <w:t xml:space="preserve"> </w:t>
            </w:r>
            <w:r>
              <w:rPr>
                <w:spacing w:val="-2"/>
              </w:rPr>
              <w:t>施12分</w:t>
            </w:r>
          </w:p>
        </w:tc>
        <w:tc>
          <w:tcPr>
            <w:tcW w:w="5554" w:type="dxa"/>
            <w:vAlign w:val="top"/>
          </w:tcPr>
          <w:p w14:paraId="426E5748">
            <w:pPr>
              <w:pStyle w:val="11"/>
              <w:spacing w:before="31" w:line="273" w:lineRule="auto"/>
              <w:ind w:left="124" w:firstLine="199"/>
            </w:pPr>
            <w:r>
              <w:rPr>
                <w:spacing w:val="-3"/>
              </w:rPr>
              <w:t>供应商针对本项目提供的安全控制措施至少包括以</w:t>
            </w:r>
            <w:r>
              <w:rPr>
                <w:spacing w:val="-1"/>
              </w:rPr>
              <w:t>下内容：</w:t>
            </w:r>
          </w:p>
          <w:p w14:paraId="58D2711A">
            <w:pPr>
              <w:pStyle w:val="11"/>
              <w:spacing w:line="248" w:lineRule="auto"/>
              <w:ind w:left="218" w:leftChars="104" w:right="588" w:firstLine="0" w:firstLineChars="0"/>
            </w:pPr>
            <w:r>
              <w:t>1.审查施工承包单位的施工安全方案及专项方案</w:t>
            </w:r>
            <w:r>
              <w:rPr>
                <w:spacing w:val="10"/>
              </w:rPr>
              <w:t xml:space="preserve"> </w:t>
            </w:r>
            <w:r>
              <w:rPr>
                <w:spacing w:val="1"/>
              </w:rPr>
              <w:t>2.安全监理措施</w:t>
            </w:r>
          </w:p>
          <w:p w14:paraId="27618C0B">
            <w:pPr>
              <w:pStyle w:val="11"/>
              <w:tabs>
                <w:tab w:val="left" w:pos="2520"/>
              </w:tabs>
              <w:spacing w:before="28" w:line="260" w:lineRule="auto"/>
              <w:ind w:right="3229" w:firstLine="222" w:firstLineChars="100"/>
            </w:pPr>
            <w:r>
              <w:rPr>
                <w:spacing w:val="1"/>
              </w:rPr>
              <w:t>3.检查</w:t>
            </w:r>
            <w:r>
              <w:rPr>
                <w:rFonts w:hint="eastAsia"/>
                <w:spacing w:val="1"/>
                <w:lang w:val="en-US" w:eastAsia="zh-CN"/>
              </w:rPr>
              <w:t>施工</w:t>
            </w:r>
            <w:r>
              <w:rPr>
                <w:spacing w:val="1"/>
              </w:rPr>
              <w:t>机械</w:t>
            </w:r>
            <w:r>
              <w:rPr>
                <w:rFonts w:hint="eastAsia"/>
                <w:spacing w:val="1"/>
                <w:lang w:val="en-US" w:eastAsia="zh-CN"/>
              </w:rPr>
              <w:t>设备</w:t>
            </w:r>
            <w:r>
              <w:t xml:space="preserve"> </w:t>
            </w:r>
          </w:p>
          <w:p w14:paraId="2B0D7B30">
            <w:pPr>
              <w:pStyle w:val="11"/>
              <w:spacing w:before="28" w:line="260" w:lineRule="auto"/>
              <w:ind w:right="3229" w:firstLine="218" w:firstLineChars="100"/>
            </w:pPr>
            <w:r>
              <w:rPr>
                <w:spacing w:val="-1"/>
              </w:rPr>
              <w:t>4.临时用电措施</w:t>
            </w:r>
          </w:p>
          <w:p w14:paraId="51C49898">
            <w:pPr>
              <w:pStyle w:val="11"/>
              <w:spacing w:before="3" w:line="259" w:lineRule="auto"/>
              <w:jc w:val="both"/>
            </w:pPr>
            <w:r>
              <w:rPr>
                <w:rFonts w:hint="eastAsia"/>
                <w:spacing w:val="-12"/>
                <w:lang w:val="en-US" w:eastAsia="zh-CN"/>
              </w:rPr>
              <w:t>每项3分，共计12分，</w:t>
            </w:r>
            <w:r>
              <w:rPr>
                <w:spacing w:val="-12"/>
              </w:rPr>
              <w:t>结合项目</w:t>
            </w:r>
            <w:r>
              <w:rPr>
                <w:spacing w:val="-11"/>
              </w:rPr>
              <w:t>实际情况具有针对性，对项目分析</w:t>
            </w:r>
            <w:r>
              <w:rPr>
                <w:spacing w:val="-12"/>
              </w:rPr>
              <w:t>透彻，措施</w:t>
            </w:r>
            <w:r>
              <w:rPr>
                <w:spacing w:val="-8"/>
              </w:rPr>
              <w:t>科</w:t>
            </w:r>
            <w:r>
              <w:rPr>
                <w:spacing w:val="-11"/>
              </w:rPr>
              <w:t>学合理，清晰，阐述详细且具备良好的可实施性</w:t>
            </w:r>
            <w:r>
              <w:rPr>
                <w:rFonts w:hint="eastAsia"/>
                <w:spacing w:val="-11"/>
                <w:lang w:eastAsia="zh-CN"/>
              </w:rPr>
              <w:t>，</w:t>
            </w:r>
            <w:r>
              <w:rPr>
                <w:rFonts w:hint="eastAsia"/>
                <w:spacing w:val="-11"/>
                <w:lang w:val="en-US" w:eastAsia="zh-CN"/>
              </w:rPr>
              <w:t>每项得3分</w:t>
            </w:r>
            <w:r>
              <w:rPr>
                <w:spacing w:val="-11"/>
              </w:rPr>
              <w:t>；</w:t>
            </w:r>
            <w:r>
              <w:rPr>
                <w:spacing w:val="9"/>
              </w:rPr>
              <w:t xml:space="preserve"> </w:t>
            </w:r>
            <w:r>
              <w:rPr>
                <w:spacing w:val="-7"/>
              </w:rPr>
              <w:t>方案中</w:t>
            </w:r>
            <w:r>
              <w:rPr>
                <w:rFonts w:hint="eastAsia"/>
                <w:spacing w:val="-7"/>
                <w:lang w:val="en-US" w:eastAsia="zh-CN"/>
              </w:rPr>
              <w:t>每项</w:t>
            </w:r>
            <w:r>
              <w:rPr>
                <w:spacing w:val="-7"/>
              </w:rPr>
              <w:t>每有一处</w:t>
            </w:r>
            <w:r>
              <w:rPr>
                <w:rFonts w:hint="eastAsia"/>
                <w:spacing w:val="-7"/>
                <w:lang w:val="en-US" w:eastAsia="zh-CN"/>
              </w:rPr>
              <w:t>与项目实际不完全相符</w:t>
            </w:r>
            <w:r>
              <w:rPr>
                <w:spacing w:val="-7"/>
              </w:rPr>
              <w:t>或有逻辑性错误或不具有针对</w:t>
            </w:r>
            <w:r>
              <w:rPr>
                <w:spacing w:val="-6"/>
              </w:rPr>
              <w:t>性的扣</w:t>
            </w:r>
            <w:r>
              <w:rPr>
                <w:rFonts w:hint="eastAsia"/>
                <w:spacing w:val="-6"/>
                <w:lang w:val="en-US" w:eastAsia="zh-CN"/>
              </w:rPr>
              <w:t>1</w:t>
            </w:r>
            <w:r>
              <w:rPr>
                <w:spacing w:val="-6"/>
              </w:rPr>
              <w:t>分</w:t>
            </w:r>
            <w:r>
              <w:rPr>
                <w:rFonts w:hint="eastAsia"/>
                <w:spacing w:val="-6"/>
                <w:lang w:eastAsia="zh-CN"/>
              </w:rPr>
              <w:t>，</w:t>
            </w:r>
            <w:r>
              <w:rPr>
                <w:rFonts w:hint="eastAsia"/>
                <w:spacing w:val="-6"/>
                <w:lang w:val="en-US" w:eastAsia="zh-CN"/>
              </w:rPr>
              <w:t>每项最多扣3分</w:t>
            </w:r>
            <w:r>
              <w:rPr>
                <w:spacing w:val="-6"/>
              </w:rPr>
              <w:t>；每缺少一项内容扣3</w:t>
            </w:r>
            <w:r>
              <w:rPr>
                <w:spacing w:val="-3"/>
              </w:rPr>
              <w:t>分。</w:t>
            </w:r>
          </w:p>
        </w:tc>
        <w:tc>
          <w:tcPr>
            <w:tcW w:w="884" w:type="dxa"/>
            <w:vMerge w:val="continue"/>
            <w:tcBorders>
              <w:top w:val="nil"/>
              <w:bottom w:val="nil"/>
            </w:tcBorders>
            <w:vAlign w:val="top"/>
          </w:tcPr>
          <w:p w14:paraId="609EEDA1">
            <w:pPr>
              <w:rPr>
                <w:rFonts w:ascii="Arial"/>
                <w:sz w:val="21"/>
              </w:rPr>
            </w:pPr>
          </w:p>
        </w:tc>
      </w:tr>
      <w:tr w14:paraId="0C0BC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7" w:hRule="atLeast"/>
        </w:trPr>
        <w:tc>
          <w:tcPr>
            <w:tcW w:w="694" w:type="dxa"/>
            <w:vMerge w:val="continue"/>
            <w:tcBorders>
              <w:top w:val="nil"/>
              <w:bottom w:val="nil"/>
            </w:tcBorders>
            <w:vAlign w:val="top"/>
          </w:tcPr>
          <w:p w14:paraId="7FA968B4">
            <w:pPr>
              <w:rPr>
                <w:rFonts w:ascii="Arial"/>
                <w:sz w:val="21"/>
              </w:rPr>
            </w:pPr>
          </w:p>
        </w:tc>
        <w:tc>
          <w:tcPr>
            <w:tcW w:w="549" w:type="dxa"/>
            <w:vMerge w:val="continue"/>
            <w:tcBorders>
              <w:top w:val="nil"/>
              <w:bottom w:val="nil"/>
            </w:tcBorders>
            <w:vAlign w:val="top"/>
          </w:tcPr>
          <w:p w14:paraId="297B496F">
            <w:pPr>
              <w:rPr>
                <w:rFonts w:ascii="Arial"/>
                <w:sz w:val="21"/>
              </w:rPr>
            </w:pPr>
          </w:p>
        </w:tc>
        <w:tc>
          <w:tcPr>
            <w:tcW w:w="1298" w:type="dxa"/>
            <w:vAlign w:val="top"/>
          </w:tcPr>
          <w:p w14:paraId="044B40D6">
            <w:pPr>
              <w:spacing w:line="245" w:lineRule="auto"/>
              <w:rPr>
                <w:rFonts w:ascii="Arial"/>
                <w:sz w:val="21"/>
              </w:rPr>
            </w:pPr>
          </w:p>
          <w:p w14:paraId="7C25AAA4">
            <w:pPr>
              <w:spacing w:line="245" w:lineRule="auto"/>
              <w:rPr>
                <w:rFonts w:ascii="Arial"/>
                <w:sz w:val="21"/>
              </w:rPr>
            </w:pPr>
          </w:p>
          <w:p w14:paraId="1E71202D">
            <w:pPr>
              <w:spacing w:line="246" w:lineRule="auto"/>
              <w:rPr>
                <w:rFonts w:ascii="Arial"/>
                <w:sz w:val="21"/>
              </w:rPr>
            </w:pPr>
          </w:p>
          <w:p w14:paraId="1E99C77F">
            <w:pPr>
              <w:spacing w:line="246" w:lineRule="auto"/>
              <w:rPr>
                <w:rFonts w:ascii="Arial"/>
                <w:sz w:val="21"/>
              </w:rPr>
            </w:pPr>
          </w:p>
          <w:p w14:paraId="14FA1130">
            <w:pPr>
              <w:spacing w:line="246" w:lineRule="auto"/>
              <w:rPr>
                <w:rFonts w:ascii="Arial"/>
                <w:sz w:val="21"/>
              </w:rPr>
            </w:pPr>
          </w:p>
          <w:p w14:paraId="2D702F26">
            <w:pPr>
              <w:pStyle w:val="11"/>
              <w:spacing w:before="71" w:line="247" w:lineRule="auto"/>
              <w:ind w:left="91" w:right="102"/>
            </w:pPr>
            <w:r>
              <w:rPr>
                <w:spacing w:val="-2"/>
              </w:rPr>
              <w:t>进度控制措</w:t>
            </w:r>
            <w:r>
              <w:rPr>
                <w:spacing w:val="2"/>
              </w:rPr>
              <w:t xml:space="preserve"> </w:t>
            </w:r>
            <w:r>
              <w:rPr>
                <w:spacing w:val="-2"/>
              </w:rPr>
              <w:t>施9分</w:t>
            </w:r>
          </w:p>
        </w:tc>
        <w:tc>
          <w:tcPr>
            <w:tcW w:w="5554" w:type="dxa"/>
            <w:vAlign w:val="top"/>
          </w:tcPr>
          <w:p w14:paraId="6A1D9D74">
            <w:pPr>
              <w:pStyle w:val="11"/>
              <w:spacing w:before="36" w:line="247" w:lineRule="auto"/>
              <w:ind w:left="133" w:firstLine="189"/>
            </w:pPr>
            <w:r>
              <w:rPr>
                <w:spacing w:val="-3"/>
              </w:rPr>
              <w:t>供应商针对本项目提供的进度控制措施至少包括以下</w:t>
            </w:r>
            <w:r>
              <w:rPr>
                <w:spacing w:val="11"/>
              </w:rPr>
              <w:t xml:space="preserve"> </w:t>
            </w:r>
            <w:r>
              <w:rPr>
                <w:spacing w:val="-1"/>
              </w:rPr>
              <w:t>内容：</w:t>
            </w:r>
          </w:p>
          <w:p w14:paraId="7DA5E312">
            <w:pPr>
              <w:pStyle w:val="11"/>
              <w:spacing w:before="40" w:line="264" w:lineRule="auto"/>
              <w:ind w:left="323" w:right="371"/>
            </w:pPr>
            <w:r>
              <w:t>1.审批施工承包单位报送的施工进度计划方案目标</w:t>
            </w:r>
            <w:r>
              <w:rPr>
                <w:spacing w:val="7"/>
              </w:rPr>
              <w:t xml:space="preserve"> </w:t>
            </w:r>
            <w:r>
              <w:rPr>
                <w:spacing w:val="1"/>
              </w:rPr>
              <w:t>2.检查、分析施工进度控制细则</w:t>
            </w:r>
          </w:p>
          <w:p w14:paraId="7FCDDD7F">
            <w:pPr>
              <w:pStyle w:val="11"/>
              <w:spacing w:before="2" w:line="219" w:lineRule="auto"/>
              <w:ind w:left="323"/>
            </w:pPr>
            <w:r>
              <w:rPr>
                <w:spacing w:val="1"/>
              </w:rPr>
              <w:t>3.提出纠偏的方案</w:t>
            </w:r>
          </w:p>
          <w:p w14:paraId="06F2A6AA">
            <w:pPr>
              <w:pStyle w:val="11"/>
              <w:spacing w:before="50"/>
              <w:ind w:left="124" w:firstLine="195"/>
            </w:pPr>
            <w:r>
              <w:rPr>
                <w:rFonts w:hint="eastAsia"/>
                <w:spacing w:val="-12"/>
                <w:lang w:val="en-US" w:eastAsia="zh-CN"/>
              </w:rPr>
              <w:t>每项3分，共计9分，</w:t>
            </w:r>
            <w:r>
              <w:rPr>
                <w:spacing w:val="-12"/>
              </w:rPr>
              <w:t>结合项目</w:t>
            </w:r>
            <w:r>
              <w:rPr>
                <w:spacing w:val="-11"/>
              </w:rPr>
              <w:t>实际情况具有针对性，对项目分析</w:t>
            </w:r>
            <w:r>
              <w:rPr>
                <w:spacing w:val="-12"/>
              </w:rPr>
              <w:t>透彻，措施</w:t>
            </w:r>
            <w:r>
              <w:rPr>
                <w:spacing w:val="-8"/>
              </w:rPr>
              <w:t>科</w:t>
            </w:r>
            <w:r>
              <w:rPr>
                <w:spacing w:val="-11"/>
              </w:rPr>
              <w:t>学合理，清晰，阐述详细且具备良好的可实施性</w:t>
            </w:r>
            <w:r>
              <w:rPr>
                <w:rFonts w:hint="eastAsia"/>
                <w:spacing w:val="-11"/>
                <w:lang w:eastAsia="zh-CN"/>
              </w:rPr>
              <w:t>，</w:t>
            </w:r>
            <w:r>
              <w:rPr>
                <w:rFonts w:hint="eastAsia"/>
                <w:spacing w:val="-11"/>
                <w:lang w:val="en-US" w:eastAsia="zh-CN"/>
              </w:rPr>
              <w:t>每项得3分</w:t>
            </w:r>
            <w:r>
              <w:rPr>
                <w:spacing w:val="-11"/>
              </w:rPr>
              <w:t>；</w:t>
            </w:r>
            <w:r>
              <w:rPr>
                <w:spacing w:val="9"/>
              </w:rPr>
              <w:t xml:space="preserve"> </w:t>
            </w:r>
            <w:r>
              <w:rPr>
                <w:spacing w:val="-7"/>
              </w:rPr>
              <w:t>方案中</w:t>
            </w:r>
            <w:r>
              <w:rPr>
                <w:rFonts w:hint="eastAsia"/>
                <w:spacing w:val="-7"/>
                <w:lang w:val="en-US" w:eastAsia="zh-CN"/>
              </w:rPr>
              <w:t>每项</w:t>
            </w:r>
            <w:r>
              <w:rPr>
                <w:spacing w:val="-7"/>
              </w:rPr>
              <w:t>每有一处</w:t>
            </w:r>
            <w:r>
              <w:rPr>
                <w:rFonts w:hint="eastAsia"/>
                <w:spacing w:val="-7"/>
                <w:lang w:val="en-US" w:eastAsia="zh-CN"/>
              </w:rPr>
              <w:t>与项目实际不完全相符</w:t>
            </w:r>
            <w:r>
              <w:rPr>
                <w:spacing w:val="-7"/>
              </w:rPr>
              <w:t>或有逻辑性错误或不具有针对</w:t>
            </w:r>
            <w:r>
              <w:rPr>
                <w:spacing w:val="-6"/>
              </w:rPr>
              <w:t>性的扣</w:t>
            </w:r>
            <w:r>
              <w:rPr>
                <w:rFonts w:hint="eastAsia"/>
                <w:spacing w:val="-6"/>
                <w:lang w:val="en-US" w:eastAsia="zh-CN"/>
              </w:rPr>
              <w:t>1</w:t>
            </w:r>
            <w:r>
              <w:rPr>
                <w:spacing w:val="-6"/>
              </w:rPr>
              <w:t>分</w:t>
            </w:r>
            <w:r>
              <w:rPr>
                <w:rFonts w:hint="eastAsia"/>
                <w:spacing w:val="-6"/>
                <w:lang w:eastAsia="zh-CN"/>
              </w:rPr>
              <w:t>，</w:t>
            </w:r>
            <w:r>
              <w:rPr>
                <w:rFonts w:hint="eastAsia"/>
                <w:spacing w:val="-6"/>
                <w:lang w:val="en-US" w:eastAsia="zh-CN"/>
              </w:rPr>
              <w:t>每项最多扣3分</w:t>
            </w:r>
            <w:r>
              <w:rPr>
                <w:spacing w:val="-6"/>
              </w:rPr>
              <w:t>；每缺少一项内容扣3</w:t>
            </w:r>
            <w:r>
              <w:rPr>
                <w:spacing w:val="-3"/>
              </w:rPr>
              <w:t>分。</w:t>
            </w:r>
          </w:p>
        </w:tc>
        <w:tc>
          <w:tcPr>
            <w:tcW w:w="884" w:type="dxa"/>
            <w:vMerge w:val="continue"/>
            <w:tcBorders>
              <w:top w:val="nil"/>
              <w:bottom w:val="nil"/>
            </w:tcBorders>
            <w:vAlign w:val="top"/>
          </w:tcPr>
          <w:p w14:paraId="25F01AD4">
            <w:pPr>
              <w:rPr>
                <w:rFonts w:ascii="Arial"/>
                <w:sz w:val="21"/>
              </w:rPr>
            </w:pPr>
          </w:p>
        </w:tc>
      </w:tr>
      <w:tr w14:paraId="60FBE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694" w:type="dxa"/>
            <w:vMerge w:val="continue"/>
            <w:tcBorders>
              <w:top w:val="nil"/>
            </w:tcBorders>
            <w:vAlign w:val="top"/>
          </w:tcPr>
          <w:p w14:paraId="452EFE63">
            <w:pPr>
              <w:rPr>
                <w:rFonts w:ascii="Arial"/>
                <w:sz w:val="21"/>
              </w:rPr>
            </w:pPr>
          </w:p>
        </w:tc>
        <w:tc>
          <w:tcPr>
            <w:tcW w:w="549" w:type="dxa"/>
            <w:vMerge w:val="continue"/>
            <w:tcBorders>
              <w:top w:val="nil"/>
            </w:tcBorders>
            <w:vAlign w:val="top"/>
          </w:tcPr>
          <w:p w14:paraId="7ED4A035">
            <w:pPr>
              <w:rPr>
                <w:rFonts w:ascii="Arial"/>
                <w:sz w:val="21"/>
              </w:rPr>
            </w:pPr>
          </w:p>
        </w:tc>
        <w:tc>
          <w:tcPr>
            <w:tcW w:w="1298" w:type="dxa"/>
            <w:vAlign w:val="top"/>
          </w:tcPr>
          <w:p w14:paraId="3E3031E5">
            <w:pPr>
              <w:spacing w:line="300" w:lineRule="auto"/>
              <w:rPr>
                <w:rFonts w:ascii="Arial"/>
                <w:sz w:val="21"/>
              </w:rPr>
            </w:pPr>
          </w:p>
          <w:p w14:paraId="24D9E2C2">
            <w:pPr>
              <w:spacing w:line="301" w:lineRule="auto"/>
              <w:rPr>
                <w:rFonts w:ascii="Arial"/>
                <w:sz w:val="21"/>
              </w:rPr>
            </w:pPr>
          </w:p>
          <w:p w14:paraId="3089310A">
            <w:pPr>
              <w:pStyle w:val="11"/>
              <w:spacing w:before="71" w:line="258" w:lineRule="auto"/>
              <w:ind w:left="91" w:right="103"/>
            </w:pPr>
            <w:r>
              <w:rPr>
                <w:spacing w:val="-2"/>
              </w:rPr>
              <w:t>造价控制措</w:t>
            </w:r>
            <w:r>
              <w:rPr>
                <w:spacing w:val="1"/>
              </w:rPr>
              <w:t xml:space="preserve"> </w:t>
            </w:r>
            <w:r>
              <w:rPr>
                <w:spacing w:val="-2"/>
              </w:rPr>
              <w:t>施12分</w:t>
            </w:r>
          </w:p>
        </w:tc>
        <w:tc>
          <w:tcPr>
            <w:tcW w:w="5554" w:type="dxa"/>
            <w:vAlign w:val="top"/>
          </w:tcPr>
          <w:p w14:paraId="19F65655">
            <w:pPr>
              <w:pStyle w:val="11"/>
              <w:spacing w:before="36" w:line="265" w:lineRule="auto"/>
              <w:ind w:left="133" w:firstLine="199"/>
            </w:pPr>
            <w:r>
              <w:rPr>
                <w:spacing w:val="-3"/>
              </w:rPr>
              <w:t>供应商针对本项目提供的</w:t>
            </w:r>
            <w:r>
              <w:rPr>
                <w:rFonts w:hint="eastAsia"/>
                <w:spacing w:val="-3"/>
                <w:lang w:val="en-US" w:eastAsia="zh-CN"/>
              </w:rPr>
              <w:t>全过程</w:t>
            </w:r>
            <w:r>
              <w:rPr>
                <w:spacing w:val="-3"/>
              </w:rPr>
              <w:t>造价控制措施至少包括以</w:t>
            </w:r>
            <w:r>
              <w:rPr>
                <w:spacing w:val="-1"/>
              </w:rPr>
              <w:t>下内容：</w:t>
            </w:r>
          </w:p>
          <w:p w14:paraId="205D3E1A">
            <w:pPr>
              <w:pStyle w:val="11"/>
              <w:spacing w:before="31" w:line="220" w:lineRule="auto"/>
              <w:ind w:left="323"/>
            </w:pPr>
            <w:r>
              <w:t>1.工程计量及工程款合理建议</w:t>
            </w:r>
          </w:p>
          <w:p w14:paraId="69238304">
            <w:pPr>
              <w:pStyle w:val="11"/>
              <w:spacing w:before="45" w:line="246" w:lineRule="auto"/>
              <w:ind w:left="323" w:right="2789"/>
            </w:pPr>
            <w:r>
              <w:t>2.造价控制的目标、措施</w:t>
            </w:r>
            <w:r>
              <w:rPr>
                <w:spacing w:val="9"/>
              </w:rPr>
              <w:t xml:space="preserve"> </w:t>
            </w:r>
            <w:r>
              <w:t>3.造价控制的手段</w:t>
            </w:r>
          </w:p>
          <w:p w14:paraId="0B42E4C0">
            <w:pPr>
              <w:pStyle w:val="11"/>
              <w:spacing w:before="45" w:line="197" w:lineRule="auto"/>
              <w:ind w:left="323"/>
            </w:pPr>
            <w:r>
              <w:rPr>
                <w:spacing w:val="-1"/>
              </w:rPr>
              <w:t>4.</w:t>
            </w:r>
            <w:r>
              <w:rPr>
                <w:highlight w:val="none"/>
              </w:rPr>
              <w:t>工程款支付、结算、索赔等预控措施</w:t>
            </w:r>
          </w:p>
        </w:tc>
        <w:tc>
          <w:tcPr>
            <w:tcW w:w="884" w:type="dxa"/>
            <w:vMerge w:val="continue"/>
            <w:tcBorders>
              <w:top w:val="nil"/>
            </w:tcBorders>
            <w:vAlign w:val="top"/>
          </w:tcPr>
          <w:p w14:paraId="62E9916F">
            <w:pPr>
              <w:rPr>
                <w:rFonts w:ascii="Arial"/>
                <w:sz w:val="21"/>
              </w:rPr>
            </w:pPr>
          </w:p>
        </w:tc>
      </w:tr>
    </w:tbl>
    <w:p w14:paraId="19315426">
      <w:pPr>
        <w:rPr>
          <w:rFonts w:ascii="Arial"/>
          <w:sz w:val="21"/>
        </w:rPr>
      </w:pPr>
    </w:p>
    <w:p w14:paraId="094DEC40">
      <w:pPr>
        <w:rPr>
          <w:rFonts w:ascii="Arial" w:hAnsi="Arial" w:eastAsia="Arial" w:cs="Arial"/>
          <w:sz w:val="21"/>
          <w:szCs w:val="21"/>
        </w:rPr>
        <w:sectPr>
          <w:pgSz w:w="11900" w:h="16830"/>
          <w:pgMar w:top="1430" w:right="1484" w:bottom="0" w:left="1425" w:header="0" w:footer="0" w:gutter="0"/>
          <w:cols w:space="720" w:num="1"/>
        </w:sectPr>
      </w:pPr>
    </w:p>
    <w:tbl>
      <w:tblPr>
        <w:tblStyle w:val="12"/>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539"/>
        <w:gridCol w:w="1308"/>
        <w:gridCol w:w="5554"/>
        <w:gridCol w:w="884"/>
      </w:tblGrid>
      <w:tr w14:paraId="03DC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04" w:type="dxa"/>
            <w:vMerge w:val="restart"/>
            <w:tcBorders>
              <w:bottom w:val="nil"/>
            </w:tcBorders>
            <w:vAlign w:val="top"/>
          </w:tcPr>
          <w:p w14:paraId="1125BD00">
            <w:pPr>
              <w:rPr>
                <w:rFonts w:ascii="Arial"/>
                <w:sz w:val="21"/>
              </w:rPr>
            </w:pPr>
          </w:p>
        </w:tc>
        <w:tc>
          <w:tcPr>
            <w:tcW w:w="539" w:type="dxa"/>
            <w:vMerge w:val="restart"/>
            <w:tcBorders>
              <w:bottom w:val="nil"/>
            </w:tcBorders>
            <w:vAlign w:val="top"/>
          </w:tcPr>
          <w:p w14:paraId="13A7EA12">
            <w:pPr>
              <w:rPr>
                <w:rFonts w:ascii="Arial"/>
                <w:sz w:val="21"/>
              </w:rPr>
            </w:pPr>
          </w:p>
        </w:tc>
        <w:tc>
          <w:tcPr>
            <w:tcW w:w="1308" w:type="dxa"/>
            <w:vAlign w:val="top"/>
          </w:tcPr>
          <w:p w14:paraId="716FDDF2">
            <w:pPr>
              <w:rPr>
                <w:rFonts w:ascii="Arial"/>
                <w:sz w:val="21"/>
              </w:rPr>
            </w:pPr>
          </w:p>
        </w:tc>
        <w:tc>
          <w:tcPr>
            <w:tcW w:w="5554" w:type="dxa"/>
            <w:vAlign w:val="top"/>
          </w:tcPr>
          <w:p w14:paraId="52CD1A7F">
            <w:pPr>
              <w:pStyle w:val="11"/>
              <w:spacing w:before="13" w:line="260" w:lineRule="auto"/>
              <w:ind w:left="84" w:firstLine="219"/>
            </w:pPr>
            <w:r>
              <w:rPr>
                <w:rFonts w:hint="eastAsia"/>
                <w:spacing w:val="-12"/>
                <w:lang w:val="en-US" w:eastAsia="zh-CN"/>
              </w:rPr>
              <w:t>每项3分，共计12分，</w:t>
            </w:r>
            <w:r>
              <w:rPr>
                <w:spacing w:val="-12"/>
              </w:rPr>
              <w:t>结合项目</w:t>
            </w:r>
            <w:r>
              <w:rPr>
                <w:spacing w:val="-11"/>
              </w:rPr>
              <w:t>实际情况具有针对性，对项目分析</w:t>
            </w:r>
            <w:r>
              <w:rPr>
                <w:spacing w:val="-12"/>
              </w:rPr>
              <w:t>透彻，措施</w:t>
            </w:r>
            <w:r>
              <w:rPr>
                <w:spacing w:val="-8"/>
              </w:rPr>
              <w:t>科</w:t>
            </w:r>
            <w:r>
              <w:rPr>
                <w:spacing w:val="-11"/>
              </w:rPr>
              <w:t>学合理，清晰，阐述详细且具备良好的可实施性</w:t>
            </w:r>
            <w:r>
              <w:rPr>
                <w:rFonts w:hint="eastAsia"/>
                <w:spacing w:val="-11"/>
                <w:lang w:eastAsia="zh-CN"/>
              </w:rPr>
              <w:t>，</w:t>
            </w:r>
            <w:r>
              <w:rPr>
                <w:rFonts w:hint="eastAsia"/>
                <w:spacing w:val="-11"/>
                <w:lang w:val="en-US" w:eastAsia="zh-CN"/>
              </w:rPr>
              <w:t>每项得3分</w:t>
            </w:r>
            <w:r>
              <w:rPr>
                <w:spacing w:val="-11"/>
              </w:rPr>
              <w:t>；</w:t>
            </w:r>
            <w:r>
              <w:rPr>
                <w:spacing w:val="9"/>
              </w:rPr>
              <w:t xml:space="preserve"> </w:t>
            </w:r>
            <w:r>
              <w:rPr>
                <w:spacing w:val="-7"/>
              </w:rPr>
              <w:t>方案中</w:t>
            </w:r>
            <w:r>
              <w:rPr>
                <w:rFonts w:hint="eastAsia"/>
                <w:spacing w:val="-7"/>
                <w:lang w:val="en-US" w:eastAsia="zh-CN"/>
              </w:rPr>
              <w:t>每项</w:t>
            </w:r>
            <w:r>
              <w:rPr>
                <w:spacing w:val="-7"/>
              </w:rPr>
              <w:t>每有一处</w:t>
            </w:r>
            <w:r>
              <w:rPr>
                <w:rFonts w:hint="eastAsia"/>
                <w:spacing w:val="-7"/>
                <w:lang w:val="en-US" w:eastAsia="zh-CN"/>
              </w:rPr>
              <w:t>与项目实际不完全相符</w:t>
            </w:r>
            <w:r>
              <w:rPr>
                <w:spacing w:val="-7"/>
              </w:rPr>
              <w:t>或有逻辑性错误或不具有针对</w:t>
            </w:r>
            <w:r>
              <w:rPr>
                <w:spacing w:val="-6"/>
              </w:rPr>
              <w:t>性的扣</w:t>
            </w:r>
            <w:r>
              <w:rPr>
                <w:rFonts w:hint="eastAsia"/>
                <w:spacing w:val="-6"/>
                <w:lang w:val="en-US" w:eastAsia="zh-CN"/>
              </w:rPr>
              <w:t>1</w:t>
            </w:r>
            <w:r>
              <w:rPr>
                <w:spacing w:val="-6"/>
              </w:rPr>
              <w:t>分</w:t>
            </w:r>
            <w:r>
              <w:rPr>
                <w:rFonts w:hint="eastAsia"/>
                <w:spacing w:val="-6"/>
                <w:lang w:eastAsia="zh-CN"/>
              </w:rPr>
              <w:t>，</w:t>
            </w:r>
            <w:r>
              <w:rPr>
                <w:rFonts w:hint="eastAsia"/>
                <w:spacing w:val="-6"/>
                <w:lang w:val="en-US" w:eastAsia="zh-CN"/>
              </w:rPr>
              <w:t>每项最多扣3分</w:t>
            </w:r>
            <w:r>
              <w:rPr>
                <w:spacing w:val="-6"/>
              </w:rPr>
              <w:t>；每缺少一项内容扣3</w:t>
            </w:r>
            <w:r>
              <w:rPr>
                <w:spacing w:val="-3"/>
              </w:rPr>
              <w:t>分。</w:t>
            </w:r>
          </w:p>
        </w:tc>
        <w:tc>
          <w:tcPr>
            <w:tcW w:w="884" w:type="dxa"/>
            <w:vMerge w:val="restart"/>
            <w:tcBorders>
              <w:bottom w:val="nil"/>
            </w:tcBorders>
            <w:vAlign w:val="top"/>
          </w:tcPr>
          <w:p w14:paraId="500B385E">
            <w:pPr>
              <w:rPr>
                <w:rFonts w:ascii="Arial"/>
                <w:sz w:val="21"/>
              </w:rPr>
            </w:pPr>
          </w:p>
        </w:tc>
      </w:tr>
      <w:tr w14:paraId="6B5CD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6" w:hRule="atLeast"/>
        </w:trPr>
        <w:tc>
          <w:tcPr>
            <w:tcW w:w="704" w:type="dxa"/>
            <w:vMerge w:val="continue"/>
            <w:tcBorders>
              <w:top w:val="nil"/>
            </w:tcBorders>
            <w:vAlign w:val="top"/>
          </w:tcPr>
          <w:p w14:paraId="69A9C282">
            <w:pPr>
              <w:rPr>
                <w:rFonts w:ascii="Arial"/>
                <w:sz w:val="21"/>
              </w:rPr>
            </w:pPr>
          </w:p>
        </w:tc>
        <w:tc>
          <w:tcPr>
            <w:tcW w:w="539" w:type="dxa"/>
            <w:vMerge w:val="continue"/>
            <w:tcBorders>
              <w:top w:val="nil"/>
            </w:tcBorders>
            <w:vAlign w:val="top"/>
          </w:tcPr>
          <w:p w14:paraId="6666E093">
            <w:pPr>
              <w:rPr>
                <w:rFonts w:ascii="Arial"/>
                <w:sz w:val="21"/>
              </w:rPr>
            </w:pPr>
          </w:p>
        </w:tc>
        <w:tc>
          <w:tcPr>
            <w:tcW w:w="1308" w:type="dxa"/>
            <w:vAlign w:val="top"/>
          </w:tcPr>
          <w:p w14:paraId="584CE11F">
            <w:pPr>
              <w:spacing w:line="301" w:lineRule="auto"/>
              <w:rPr>
                <w:rFonts w:ascii="Arial"/>
                <w:sz w:val="21"/>
              </w:rPr>
            </w:pPr>
          </w:p>
          <w:p w14:paraId="784F5653">
            <w:pPr>
              <w:spacing w:line="301" w:lineRule="auto"/>
              <w:rPr>
                <w:rFonts w:ascii="Arial"/>
                <w:sz w:val="21"/>
              </w:rPr>
            </w:pPr>
          </w:p>
          <w:p w14:paraId="0BA24A19">
            <w:pPr>
              <w:spacing w:line="301" w:lineRule="auto"/>
              <w:rPr>
                <w:rFonts w:ascii="Arial"/>
                <w:sz w:val="21"/>
              </w:rPr>
            </w:pPr>
          </w:p>
          <w:p w14:paraId="4649DAC5">
            <w:pPr>
              <w:pStyle w:val="11"/>
              <w:spacing w:before="72" w:line="256" w:lineRule="auto"/>
              <w:ind w:left="91" w:right="93"/>
            </w:pPr>
            <w:r>
              <w:rPr>
                <w:spacing w:val="2"/>
              </w:rPr>
              <w:t>组织协调措</w:t>
            </w:r>
            <w:r>
              <w:rPr>
                <w:spacing w:val="1"/>
              </w:rPr>
              <w:t xml:space="preserve"> </w:t>
            </w:r>
            <w:r>
              <w:rPr>
                <w:spacing w:val="-2"/>
              </w:rPr>
              <w:t>施</w:t>
            </w:r>
            <w:r>
              <w:rPr>
                <w:rFonts w:hint="eastAsia"/>
                <w:spacing w:val="-2"/>
                <w:lang w:val="en-US" w:eastAsia="zh-CN"/>
              </w:rPr>
              <w:t>9</w:t>
            </w:r>
            <w:r>
              <w:rPr>
                <w:spacing w:val="-2"/>
              </w:rPr>
              <w:t>分</w:t>
            </w:r>
          </w:p>
        </w:tc>
        <w:tc>
          <w:tcPr>
            <w:tcW w:w="5554" w:type="dxa"/>
            <w:vAlign w:val="top"/>
          </w:tcPr>
          <w:p w14:paraId="57940C45">
            <w:pPr>
              <w:pStyle w:val="11"/>
              <w:spacing w:before="10" w:line="264" w:lineRule="auto"/>
              <w:ind w:left="114" w:firstLine="179"/>
            </w:pPr>
            <w:r>
              <w:rPr>
                <w:spacing w:val="-2"/>
              </w:rPr>
              <w:t>根据供应商针对本项目提供的组织协调措施至少包括以</w:t>
            </w:r>
            <w:r>
              <w:rPr>
                <w:spacing w:val="17"/>
              </w:rPr>
              <w:t xml:space="preserve"> </w:t>
            </w:r>
            <w:r>
              <w:rPr>
                <w:spacing w:val="-1"/>
              </w:rPr>
              <w:t>下内容：</w:t>
            </w:r>
          </w:p>
          <w:p w14:paraId="4E5059CD">
            <w:pPr>
              <w:pStyle w:val="11"/>
              <w:spacing w:before="20" w:line="248" w:lineRule="auto"/>
              <w:ind w:left="84" w:firstLine="219"/>
            </w:pPr>
            <w:r>
              <w:rPr>
                <w:spacing w:val="-9"/>
              </w:rPr>
              <w:t>1.协调的目标、2.协调的内容、3.协调的方法</w:t>
            </w:r>
          </w:p>
          <w:p w14:paraId="2B41EB09">
            <w:pPr>
              <w:pStyle w:val="11"/>
              <w:spacing w:before="41" w:line="259" w:lineRule="auto"/>
              <w:ind w:left="74" w:firstLine="215"/>
              <w:jc w:val="both"/>
            </w:pPr>
            <w:r>
              <w:rPr>
                <w:rFonts w:hint="eastAsia"/>
                <w:spacing w:val="-12"/>
                <w:lang w:val="en-US" w:eastAsia="zh-CN"/>
              </w:rPr>
              <w:t>每项3分，共计9分，</w:t>
            </w:r>
            <w:r>
              <w:rPr>
                <w:spacing w:val="-12"/>
              </w:rPr>
              <w:t>结合项目</w:t>
            </w:r>
            <w:r>
              <w:rPr>
                <w:spacing w:val="-11"/>
              </w:rPr>
              <w:t>实际情况具有针对性，对项目分析</w:t>
            </w:r>
            <w:r>
              <w:rPr>
                <w:spacing w:val="-12"/>
              </w:rPr>
              <w:t>透彻，措施</w:t>
            </w:r>
            <w:r>
              <w:rPr>
                <w:spacing w:val="-8"/>
              </w:rPr>
              <w:t>科</w:t>
            </w:r>
            <w:r>
              <w:rPr>
                <w:spacing w:val="-11"/>
              </w:rPr>
              <w:t>学合理，清晰，阐述详细且具备良好的可实施性</w:t>
            </w:r>
            <w:r>
              <w:rPr>
                <w:rFonts w:hint="eastAsia"/>
                <w:spacing w:val="-11"/>
                <w:lang w:eastAsia="zh-CN"/>
              </w:rPr>
              <w:t>，</w:t>
            </w:r>
            <w:r>
              <w:rPr>
                <w:rFonts w:hint="eastAsia"/>
                <w:spacing w:val="-11"/>
                <w:lang w:val="en-US" w:eastAsia="zh-CN"/>
              </w:rPr>
              <w:t>每项得3分</w:t>
            </w:r>
            <w:r>
              <w:rPr>
                <w:spacing w:val="-11"/>
              </w:rPr>
              <w:t>；</w:t>
            </w:r>
            <w:r>
              <w:rPr>
                <w:spacing w:val="9"/>
              </w:rPr>
              <w:t xml:space="preserve"> </w:t>
            </w:r>
            <w:r>
              <w:rPr>
                <w:spacing w:val="-7"/>
              </w:rPr>
              <w:t>方案中</w:t>
            </w:r>
            <w:r>
              <w:rPr>
                <w:rFonts w:hint="eastAsia"/>
                <w:spacing w:val="-7"/>
                <w:lang w:val="en-US" w:eastAsia="zh-CN"/>
              </w:rPr>
              <w:t>每项</w:t>
            </w:r>
            <w:r>
              <w:rPr>
                <w:spacing w:val="-7"/>
              </w:rPr>
              <w:t>每有一处</w:t>
            </w:r>
            <w:r>
              <w:rPr>
                <w:rFonts w:hint="eastAsia"/>
                <w:spacing w:val="-7"/>
                <w:lang w:val="en-US" w:eastAsia="zh-CN"/>
              </w:rPr>
              <w:t>与项目实际不完全相符</w:t>
            </w:r>
            <w:r>
              <w:rPr>
                <w:spacing w:val="-7"/>
              </w:rPr>
              <w:t>或有逻辑性错误或不具有针对</w:t>
            </w:r>
            <w:r>
              <w:rPr>
                <w:spacing w:val="-6"/>
              </w:rPr>
              <w:t>性的扣</w:t>
            </w:r>
            <w:r>
              <w:rPr>
                <w:rFonts w:hint="eastAsia"/>
                <w:spacing w:val="-6"/>
                <w:lang w:val="en-US" w:eastAsia="zh-CN"/>
              </w:rPr>
              <w:t>1</w:t>
            </w:r>
            <w:r>
              <w:rPr>
                <w:spacing w:val="-6"/>
              </w:rPr>
              <w:t>分</w:t>
            </w:r>
            <w:r>
              <w:rPr>
                <w:rFonts w:hint="eastAsia"/>
                <w:spacing w:val="-6"/>
                <w:lang w:eastAsia="zh-CN"/>
              </w:rPr>
              <w:t>，</w:t>
            </w:r>
            <w:r>
              <w:rPr>
                <w:rFonts w:hint="eastAsia"/>
                <w:spacing w:val="-6"/>
                <w:lang w:val="en-US" w:eastAsia="zh-CN"/>
              </w:rPr>
              <w:t>每项最多扣3分</w:t>
            </w:r>
            <w:r>
              <w:rPr>
                <w:spacing w:val="-6"/>
              </w:rPr>
              <w:t>；每缺少一项内容扣3</w:t>
            </w:r>
            <w:r>
              <w:rPr>
                <w:spacing w:val="-3"/>
              </w:rPr>
              <w:t>分。</w:t>
            </w:r>
          </w:p>
        </w:tc>
        <w:tc>
          <w:tcPr>
            <w:tcW w:w="884" w:type="dxa"/>
            <w:vMerge w:val="continue"/>
            <w:tcBorders>
              <w:top w:val="nil"/>
            </w:tcBorders>
            <w:vAlign w:val="top"/>
          </w:tcPr>
          <w:p w14:paraId="0835FA5C">
            <w:pPr>
              <w:rPr>
                <w:rFonts w:ascii="Arial"/>
                <w:sz w:val="21"/>
              </w:rPr>
            </w:pPr>
          </w:p>
        </w:tc>
      </w:tr>
      <w:tr w14:paraId="79D2A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6" w:hRule="atLeast"/>
        </w:trPr>
        <w:tc>
          <w:tcPr>
            <w:tcW w:w="704" w:type="dxa"/>
            <w:vAlign w:val="top"/>
          </w:tcPr>
          <w:p w14:paraId="367CFFB2">
            <w:pPr>
              <w:spacing w:line="251" w:lineRule="auto"/>
              <w:rPr>
                <w:rFonts w:ascii="Arial"/>
                <w:sz w:val="21"/>
              </w:rPr>
            </w:pPr>
          </w:p>
          <w:p w14:paraId="3C4861B2">
            <w:pPr>
              <w:spacing w:line="251" w:lineRule="auto"/>
              <w:rPr>
                <w:rFonts w:ascii="Arial"/>
                <w:sz w:val="21"/>
              </w:rPr>
            </w:pPr>
          </w:p>
          <w:p w14:paraId="45B6D0B0">
            <w:pPr>
              <w:spacing w:line="251" w:lineRule="auto"/>
              <w:rPr>
                <w:rFonts w:ascii="Arial"/>
                <w:sz w:val="21"/>
              </w:rPr>
            </w:pPr>
          </w:p>
          <w:p w14:paraId="4537D34B">
            <w:pPr>
              <w:spacing w:line="251" w:lineRule="auto"/>
              <w:rPr>
                <w:rFonts w:ascii="Arial"/>
                <w:sz w:val="21"/>
              </w:rPr>
            </w:pPr>
          </w:p>
          <w:p w14:paraId="382D7085">
            <w:pPr>
              <w:spacing w:line="252" w:lineRule="auto"/>
              <w:rPr>
                <w:rFonts w:ascii="Arial"/>
                <w:sz w:val="21"/>
              </w:rPr>
            </w:pPr>
          </w:p>
          <w:p w14:paraId="4F4DE91E">
            <w:pPr>
              <w:spacing w:line="252" w:lineRule="auto"/>
              <w:rPr>
                <w:rFonts w:ascii="Arial"/>
                <w:sz w:val="21"/>
              </w:rPr>
            </w:pPr>
          </w:p>
          <w:p w14:paraId="01059793">
            <w:pPr>
              <w:spacing w:line="252" w:lineRule="auto"/>
              <w:rPr>
                <w:rFonts w:ascii="Arial"/>
                <w:sz w:val="21"/>
              </w:rPr>
            </w:pPr>
          </w:p>
          <w:p w14:paraId="5DB05617">
            <w:pPr>
              <w:pStyle w:val="11"/>
              <w:spacing w:before="72" w:line="182" w:lineRule="auto"/>
              <w:ind w:left="285"/>
            </w:pPr>
            <w:r>
              <w:t>5</w:t>
            </w:r>
          </w:p>
        </w:tc>
        <w:tc>
          <w:tcPr>
            <w:tcW w:w="1847" w:type="dxa"/>
            <w:gridSpan w:val="2"/>
            <w:vAlign w:val="top"/>
          </w:tcPr>
          <w:p w14:paraId="5B67AFA1">
            <w:pPr>
              <w:spacing w:line="243" w:lineRule="auto"/>
              <w:rPr>
                <w:rFonts w:ascii="Arial"/>
                <w:sz w:val="21"/>
              </w:rPr>
            </w:pPr>
          </w:p>
          <w:p w14:paraId="5ECE8B72">
            <w:pPr>
              <w:spacing w:line="243" w:lineRule="auto"/>
              <w:rPr>
                <w:rFonts w:ascii="Arial"/>
                <w:sz w:val="21"/>
              </w:rPr>
            </w:pPr>
          </w:p>
          <w:p w14:paraId="06D199FF">
            <w:pPr>
              <w:spacing w:line="243" w:lineRule="auto"/>
              <w:rPr>
                <w:rFonts w:ascii="Arial"/>
                <w:sz w:val="21"/>
              </w:rPr>
            </w:pPr>
          </w:p>
          <w:p w14:paraId="69035D40">
            <w:pPr>
              <w:spacing w:line="243" w:lineRule="auto"/>
              <w:rPr>
                <w:rFonts w:ascii="Arial"/>
                <w:sz w:val="21"/>
              </w:rPr>
            </w:pPr>
          </w:p>
          <w:p w14:paraId="4C5A60BD">
            <w:pPr>
              <w:spacing w:line="243" w:lineRule="auto"/>
              <w:rPr>
                <w:rFonts w:ascii="Arial"/>
                <w:sz w:val="21"/>
              </w:rPr>
            </w:pPr>
          </w:p>
          <w:p w14:paraId="1F74EFAF">
            <w:pPr>
              <w:spacing w:line="244" w:lineRule="auto"/>
              <w:rPr>
                <w:rFonts w:ascii="Arial"/>
                <w:sz w:val="21"/>
              </w:rPr>
            </w:pPr>
          </w:p>
          <w:p w14:paraId="7BAD965B">
            <w:pPr>
              <w:spacing w:line="244" w:lineRule="auto"/>
              <w:rPr>
                <w:rFonts w:ascii="Arial"/>
                <w:sz w:val="21"/>
              </w:rPr>
            </w:pPr>
          </w:p>
          <w:p w14:paraId="0FC8B337">
            <w:pPr>
              <w:pStyle w:val="11"/>
              <w:spacing w:before="72" w:line="220" w:lineRule="auto"/>
              <w:ind w:left="340"/>
            </w:pPr>
            <w:r>
              <w:rPr>
                <w:spacing w:val="-2"/>
              </w:rPr>
              <w:t>人员配备</w:t>
            </w:r>
            <w:r>
              <w:rPr>
                <w:rFonts w:hint="eastAsia"/>
                <w:spacing w:val="-2"/>
                <w:lang w:val="en-US" w:eastAsia="zh-CN"/>
              </w:rPr>
              <w:t>21</w:t>
            </w:r>
            <w:r>
              <w:rPr>
                <w:spacing w:val="-2"/>
              </w:rPr>
              <w:t>分</w:t>
            </w:r>
          </w:p>
        </w:tc>
        <w:tc>
          <w:tcPr>
            <w:tcW w:w="5554" w:type="dxa"/>
            <w:vAlign w:val="top"/>
          </w:tcPr>
          <w:p w14:paraId="160836C1">
            <w:pPr>
              <w:pStyle w:val="11"/>
              <w:spacing w:before="15" w:line="252" w:lineRule="auto"/>
              <w:ind w:left="84" w:firstLine="218"/>
            </w:pPr>
            <w:r>
              <w:rPr>
                <w:spacing w:val="-2"/>
              </w:rPr>
              <w:t>1、项目总监1名：具备房屋建筑工程全国注册监</w:t>
            </w:r>
            <w:r>
              <w:rPr>
                <w:spacing w:val="-3"/>
              </w:rPr>
              <w:t>理工程</w:t>
            </w:r>
            <w:r>
              <w:t xml:space="preserve"> </w:t>
            </w:r>
            <w:r>
              <w:rPr>
                <w:spacing w:val="-2"/>
              </w:rPr>
              <w:t>师资格证得</w:t>
            </w:r>
            <w:r>
              <w:rPr>
                <w:rFonts w:hint="eastAsia"/>
                <w:spacing w:val="-2"/>
                <w:lang w:val="en-US" w:eastAsia="zh-CN"/>
              </w:rPr>
              <w:t>5</w:t>
            </w:r>
            <w:r>
              <w:rPr>
                <w:spacing w:val="-2"/>
              </w:rPr>
              <w:t>分；同时具备中级及以上技术职称加</w:t>
            </w:r>
            <w:r>
              <w:rPr>
                <w:rFonts w:hint="eastAsia"/>
                <w:spacing w:val="-2"/>
                <w:lang w:val="en-US" w:eastAsia="zh-CN"/>
              </w:rPr>
              <w:t>3</w:t>
            </w:r>
            <w:r>
              <w:rPr>
                <w:spacing w:val="-2"/>
              </w:rPr>
              <w:t>分。本</w:t>
            </w:r>
            <w:r>
              <w:rPr>
                <w:spacing w:val="1"/>
              </w:rPr>
              <w:t>项最多得</w:t>
            </w:r>
            <w:r>
              <w:rPr>
                <w:rFonts w:hint="eastAsia"/>
                <w:spacing w:val="1"/>
                <w:lang w:val="en-US" w:eastAsia="zh-CN"/>
              </w:rPr>
              <w:t>8</w:t>
            </w:r>
            <w:r>
              <w:rPr>
                <w:spacing w:val="1"/>
              </w:rPr>
              <w:t>分。</w:t>
            </w:r>
          </w:p>
          <w:p w14:paraId="001BE174">
            <w:pPr>
              <w:pStyle w:val="11"/>
              <w:spacing w:before="48" w:line="252" w:lineRule="auto"/>
              <w:ind w:left="84" w:firstLine="198"/>
            </w:pPr>
            <w:r>
              <w:rPr>
                <w:spacing w:val="-2"/>
              </w:rPr>
              <w:t>2、项目专业监理工程师1名：具有监理行业从业人员监</w:t>
            </w:r>
            <w:r>
              <w:rPr>
                <w:spacing w:val="10"/>
              </w:rPr>
              <w:t xml:space="preserve"> </w:t>
            </w:r>
            <w:r>
              <w:rPr>
                <w:spacing w:val="-2"/>
              </w:rPr>
              <w:t>理业务培训证得</w:t>
            </w:r>
            <w:r>
              <w:rPr>
                <w:rFonts w:hint="eastAsia"/>
                <w:spacing w:val="-2"/>
                <w:lang w:val="en-US" w:eastAsia="zh-CN"/>
              </w:rPr>
              <w:t>5</w:t>
            </w:r>
            <w:r>
              <w:rPr>
                <w:spacing w:val="-2"/>
              </w:rPr>
              <w:t>分，同时具备中级及以上技术职称加</w:t>
            </w:r>
            <w:r>
              <w:rPr>
                <w:rFonts w:hint="eastAsia"/>
                <w:spacing w:val="-2"/>
                <w:lang w:val="en-US" w:eastAsia="zh-CN"/>
              </w:rPr>
              <w:t>3</w:t>
            </w:r>
            <w:r>
              <w:rPr>
                <w:spacing w:val="-2"/>
              </w:rPr>
              <w:t>分</w:t>
            </w:r>
            <w:r>
              <w:rPr>
                <w:rFonts w:hint="eastAsia"/>
                <w:spacing w:val="-2"/>
                <w:lang w:val="en-US" w:eastAsia="zh-CN"/>
              </w:rPr>
              <w:t>，</w:t>
            </w:r>
            <w:r>
              <w:rPr>
                <w:spacing w:val="-2"/>
              </w:rPr>
              <w:t>本项最</w:t>
            </w:r>
            <w:r>
              <w:rPr>
                <w:spacing w:val="5"/>
              </w:rPr>
              <w:t>多得</w:t>
            </w:r>
            <w:r>
              <w:rPr>
                <w:rFonts w:hint="eastAsia"/>
                <w:spacing w:val="5"/>
                <w:lang w:val="en-US" w:eastAsia="zh-CN"/>
              </w:rPr>
              <w:t>8</w:t>
            </w:r>
            <w:r>
              <w:rPr>
                <w:spacing w:val="5"/>
              </w:rPr>
              <w:t>分。</w:t>
            </w:r>
          </w:p>
          <w:p w14:paraId="768BA57A">
            <w:pPr>
              <w:pStyle w:val="11"/>
              <w:spacing w:before="48" w:line="248" w:lineRule="auto"/>
              <w:ind w:left="114" w:firstLine="179"/>
            </w:pPr>
            <w:r>
              <w:rPr>
                <w:spacing w:val="-1"/>
              </w:rPr>
              <w:t>3、拟派本项目监理员1名：具有监理行业</w:t>
            </w:r>
            <w:r>
              <w:rPr>
                <w:spacing w:val="-2"/>
              </w:rPr>
              <w:t>从业人员监理</w:t>
            </w:r>
            <w:r>
              <w:t xml:space="preserve"> </w:t>
            </w:r>
            <w:r>
              <w:rPr>
                <w:spacing w:val="-1"/>
              </w:rPr>
              <w:t>业务培训证得</w:t>
            </w:r>
            <w:r>
              <w:rPr>
                <w:rFonts w:hint="eastAsia"/>
                <w:spacing w:val="-1"/>
                <w:lang w:val="en-US" w:eastAsia="zh-CN"/>
              </w:rPr>
              <w:t>5</w:t>
            </w:r>
            <w:r>
              <w:rPr>
                <w:spacing w:val="-1"/>
              </w:rPr>
              <w:t>分。</w:t>
            </w:r>
          </w:p>
          <w:p w14:paraId="0E21D41F">
            <w:pPr>
              <w:pStyle w:val="11"/>
              <w:spacing w:before="38" w:line="260" w:lineRule="auto"/>
              <w:ind w:left="94" w:firstLine="199"/>
            </w:pPr>
            <w:r>
              <w:rPr>
                <w:spacing w:val="-6"/>
              </w:rPr>
              <w:t>注：1、所有人员不得重复计分，所有注册证书均需注册</w:t>
            </w:r>
            <w:r>
              <w:rPr>
                <w:spacing w:val="-1"/>
              </w:rPr>
              <w:t>在本单位，</w:t>
            </w:r>
            <w:r>
              <w:rPr>
                <w:rFonts w:hint="eastAsia"/>
                <w:spacing w:val="-1"/>
                <w:lang w:val="en-US" w:eastAsia="zh-CN"/>
              </w:rPr>
              <w:t>提供在职证明（包括不限于合同及银行流水等），</w:t>
            </w:r>
            <w:r>
              <w:rPr>
                <w:spacing w:val="-1"/>
              </w:rPr>
              <w:t>否则不予计分。</w:t>
            </w:r>
          </w:p>
          <w:p w14:paraId="3153F7EF">
            <w:pPr>
              <w:pStyle w:val="11"/>
              <w:spacing w:before="1" w:line="252" w:lineRule="auto"/>
              <w:ind w:left="104" w:firstLine="186"/>
            </w:pPr>
            <w:r>
              <w:rPr>
                <w:spacing w:val="-14"/>
              </w:rPr>
              <w:t>2、拟投入所有人员均须提供人员执业资格证书的复印件、</w:t>
            </w:r>
            <w:r>
              <w:rPr>
                <w:spacing w:val="6"/>
              </w:rPr>
              <w:t xml:space="preserve"> </w:t>
            </w:r>
            <w:r>
              <w:rPr>
                <w:spacing w:val="-4"/>
              </w:rPr>
              <w:t>身份证的复印件等并加盖供应商公章。</w:t>
            </w:r>
          </w:p>
        </w:tc>
        <w:tc>
          <w:tcPr>
            <w:tcW w:w="884" w:type="dxa"/>
            <w:vAlign w:val="top"/>
          </w:tcPr>
          <w:p w14:paraId="469231D6">
            <w:pPr>
              <w:rPr>
                <w:rFonts w:ascii="Arial"/>
                <w:sz w:val="21"/>
              </w:rPr>
            </w:pPr>
          </w:p>
        </w:tc>
      </w:tr>
      <w:tr w14:paraId="15096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04" w:type="dxa"/>
            <w:vAlign w:val="top"/>
          </w:tcPr>
          <w:p w14:paraId="30A1AEA2">
            <w:pPr>
              <w:spacing w:line="352" w:lineRule="auto"/>
              <w:rPr>
                <w:rFonts w:ascii="Arial"/>
                <w:sz w:val="21"/>
              </w:rPr>
            </w:pPr>
          </w:p>
          <w:p w14:paraId="77293E4E">
            <w:pPr>
              <w:pStyle w:val="11"/>
              <w:spacing w:before="71" w:line="183" w:lineRule="auto"/>
              <w:ind w:left="285"/>
            </w:pPr>
            <w:r>
              <w:t>6</w:t>
            </w:r>
          </w:p>
        </w:tc>
        <w:tc>
          <w:tcPr>
            <w:tcW w:w="1847" w:type="dxa"/>
            <w:gridSpan w:val="2"/>
            <w:vAlign w:val="top"/>
          </w:tcPr>
          <w:p w14:paraId="2C6D3951">
            <w:pPr>
              <w:spacing w:line="295" w:lineRule="auto"/>
              <w:rPr>
                <w:rFonts w:ascii="Arial"/>
                <w:sz w:val="21"/>
              </w:rPr>
            </w:pPr>
          </w:p>
          <w:p w14:paraId="70A4809F">
            <w:pPr>
              <w:pStyle w:val="11"/>
              <w:spacing w:before="72" w:line="219" w:lineRule="auto"/>
              <w:ind w:left="340"/>
            </w:pPr>
            <w:r>
              <w:rPr>
                <w:spacing w:val="1"/>
              </w:rPr>
              <w:t>履约能力</w:t>
            </w:r>
            <w:r>
              <w:rPr>
                <w:rFonts w:hint="eastAsia"/>
                <w:spacing w:val="1"/>
                <w:lang w:val="en-US" w:eastAsia="zh-CN"/>
              </w:rPr>
              <w:t>5</w:t>
            </w:r>
            <w:r>
              <w:rPr>
                <w:spacing w:val="1"/>
              </w:rPr>
              <w:t>分</w:t>
            </w:r>
          </w:p>
        </w:tc>
        <w:tc>
          <w:tcPr>
            <w:tcW w:w="5554" w:type="dxa"/>
            <w:vAlign w:val="top"/>
          </w:tcPr>
          <w:p w14:paraId="25DF0A3D">
            <w:pPr>
              <w:pStyle w:val="11"/>
              <w:spacing w:before="17" w:line="219" w:lineRule="auto"/>
              <w:ind w:left="293"/>
            </w:pPr>
            <w:r>
              <w:t>202</w:t>
            </w:r>
            <w:r>
              <w:rPr>
                <w:rFonts w:hint="eastAsia"/>
                <w:lang w:val="en-US" w:eastAsia="zh-CN"/>
              </w:rPr>
              <w:t>1</w:t>
            </w:r>
            <w:r>
              <w:t>年1月1日以来供应商每提供一个房屋建筑工程类</w:t>
            </w:r>
          </w:p>
          <w:p w14:paraId="735A8B0E">
            <w:pPr>
              <w:pStyle w:val="11"/>
              <w:spacing w:before="69" w:line="246" w:lineRule="auto"/>
              <w:ind w:left="104"/>
            </w:pPr>
            <w:r>
              <w:rPr>
                <w:spacing w:val="-2"/>
              </w:rPr>
              <w:t>监理项目业绩的得</w:t>
            </w:r>
            <w:r>
              <w:rPr>
                <w:rFonts w:hint="eastAsia"/>
                <w:spacing w:val="-2"/>
                <w:lang w:val="en-US" w:eastAsia="zh-CN"/>
              </w:rPr>
              <w:t>2.5</w:t>
            </w:r>
            <w:r>
              <w:rPr>
                <w:spacing w:val="-2"/>
              </w:rPr>
              <w:t>分，本项最多得</w:t>
            </w:r>
            <w:r>
              <w:rPr>
                <w:rFonts w:hint="eastAsia"/>
                <w:spacing w:val="-2"/>
                <w:lang w:val="en-US" w:eastAsia="zh-CN"/>
              </w:rPr>
              <w:t>5</w:t>
            </w:r>
            <w:r>
              <w:rPr>
                <w:spacing w:val="-2"/>
              </w:rPr>
              <w:t>分。</w:t>
            </w:r>
            <w:r>
              <w:rPr>
                <w:spacing w:val="-3"/>
              </w:rPr>
              <w:t>(提供合同和</w:t>
            </w:r>
            <w:r>
              <w:t xml:space="preserve"> </w:t>
            </w:r>
            <w:r>
              <w:rPr>
                <w:spacing w:val="2"/>
              </w:rPr>
              <w:t>中标通知书并加盖供应商鲜章)</w:t>
            </w:r>
          </w:p>
        </w:tc>
        <w:tc>
          <w:tcPr>
            <w:tcW w:w="884" w:type="dxa"/>
            <w:vAlign w:val="top"/>
          </w:tcPr>
          <w:p w14:paraId="1A8E938F">
            <w:pPr>
              <w:rPr>
                <w:rFonts w:ascii="Arial"/>
                <w:sz w:val="21"/>
              </w:rPr>
            </w:pPr>
          </w:p>
        </w:tc>
      </w:tr>
    </w:tbl>
    <w:p w14:paraId="61EB1537">
      <w:pPr>
        <w:autoSpaceDE w:val="0"/>
        <w:autoSpaceDN w:val="0"/>
        <w:adjustRightInd w:val="0"/>
        <w:snapToGrid w:val="0"/>
        <w:spacing w:line="438" w:lineRule="exact"/>
        <w:ind w:right="-23"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NWFmNmY2Y2U0M2VhY2U0ZWU2MzFkZTFlZWEwNTUifQ=="/>
  </w:docVars>
  <w:rsids>
    <w:rsidRoot w:val="1B4F17F8"/>
    <w:rsid w:val="00125636"/>
    <w:rsid w:val="002C623A"/>
    <w:rsid w:val="0042243E"/>
    <w:rsid w:val="00443C2D"/>
    <w:rsid w:val="00A749CA"/>
    <w:rsid w:val="00B82F0A"/>
    <w:rsid w:val="041406C1"/>
    <w:rsid w:val="05494912"/>
    <w:rsid w:val="08831FFA"/>
    <w:rsid w:val="08C071D8"/>
    <w:rsid w:val="09E90404"/>
    <w:rsid w:val="0A17754A"/>
    <w:rsid w:val="0C6202AD"/>
    <w:rsid w:val="0CCC34F8"/>
    <w:rsid w:val="183A7FBD"/>
    <w:rsid w:val="19690101"/>
    <w:rsid w:val="1B4F17F8"/>
    <w:rsid w:val="1C383135"/>
    <w:rsid w:val="1E07540F"/>
    <w:rsid w:val="1ECE499C"/>
    <w:rsid w:val="21E14DBA"/>
    <w:rsid w:val="28200BF0"/>
    <w:rsid w:val="28F9278F"/>
    <w:rsid w:val="2B6B1B34"/>
    <w:rsid w:val="2F9959A7"/>
    <w:rsid w:val="31FD114E"/>
    <w:rsid w:val="32042934"/>
    <w:rsid w:val="33A76C4E"/>
    <w:rsid w:val="33AD20BF"/>
    <w:rsid w:val="3463645E"/>
    <w:rsid w:val="360F2E6D"/>
    <w:rsid w:val="3862497A"/>
    <w:rsid w:val="3DEB5F19"/>
    <w:rsid w:val="3E0064B1"/>
    <w:rsid w:val="3E322A6A"/>
    <w:rsid w:val="41874846"/>
    <w:rsid w:val="488345BD"/>
    <w:rsid w:val="48963C5F"/>
    <w:rsid w:val="4B17688C"/>
    <w:rsid w:val="4CA835C3"/>
    <w:rsid w:val="5233689E"/>
    <w:rsid w:val="54F52194"/>
    <w:rsid w:val="561447AA"/>
    <w:rsid w:val="5E5B03E7"/>
    <w:rsid w:val="60065B3B"/>
    <w:rsid w:val="60935CD3"/>
    <w:rsid w:val="65433F0C"/>
    <w:rsid w:val="66094A38"/>
    <w:rsid w:val="68330F4C"/>
    <w:rsid w:val="69B05CC3"/>
    <w:rsid w:val="6A567AE7"/>
    <w:rsid w:val="6ACB701A"/>
    <w:rsid w:val="711E782E"/>
    <w:rsid w:val="78EC444E"/>
    <w:rsid w:val="7B845941"/>
    <w:rsid w:val="7D0F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3"/>
    <w:basedOn w:val="1"/>
    <w:next w:val="1"/>
    <w:unhideWhenUsed/>
    <w:qFormat/>
    <w:uiPriority w:val="0"/>
    <w:pPr>
      <w:keepNext/>
      <w:keepLines/>
      <w:spacing w:line="360" w:lineRule="auto"/>
      <w:outlineLvl w:val="2"/>
    </w:pPr>
    <w:rPr>
      <w:b/>
      <w:bCs/>
      <w:sz w:val="24"/>
      <w:szCs w:val="2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style>
  <w:style w:type="character" w:customStyle="1" w:styleId="8">
    <w:name w:val="tdrownotice1"/>
    <w:basedOn w:val="6"/>
    <w:qFormat/>
    <w:uiPriority w:val="0"/>
    <w:rPr>
      <w:rFonts w:cs="Times New Roman"/>
      <w:sz w:val="22"/>
      <w:szCs w:val="22"/>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Table Text"/>
    <w:basedOn w:val="1"/>
    <w:semiHidden/>
    <w:qFormat/>
    <w:uiPriority w:val="0"/>
    <w:rPr>
      <w:rFonts w:ascii="宋体" w:hAnsi="宋体" w:eastAsia="宋体" w:cs="宋体"/>
      <w:sz w:val="22"/>
      <w:szCs w:val="22"/>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1679</Words>
  <Characters>1720</Characters>
  <Lines>8</Lines>
  <Paragraphs>2</Paragraphs>
  <TotalTime>16</TotalTime>
  <ScaleCrop>false</ScaleCrop>
  <LinksUpToDate>false</LinksUpToDate>
  <CharactersWithSpaces>1748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2016-06-02T01:27:00Z</dcterms:created>
  <dc:creator>Administrator</dc:creator>
  <cp:lastModifiedBy>甯仁义</cp:lastModifiedBy>
  <cp:lastPrinted>2025-04-07T11:48:00Z</cp:lastPrinted>
  <dcterms:modified xsi:type="dcterms:W3CDTF">2025-04-08T06:48:04Z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0D20503ECD26415BA4627AEF7233B2D6_13</vt:lpwstr>
  </property>
  <property fmtid="{D5CDD505-2E9C-101B-9397-08002B2CF9AE}" pid="4" name="KSOTemplateDocerSaveRecord">
    <vt:lpwstr>eyJoZGlkIjoiYTA4MDA0ZDQxYTM0YmUyZDRhMGI5OWQzZDdmYWZmMDEiLCJ1c2VySWQiOiI0MTM4MTk3NTMifQ==</vt:lpwstr>
  </property>
</Properties>
</file>