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医疗设备一批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</w:t>
      </w:r>
    </w:p>
    <w:tbl>
      <w:tblPr>
        <w:tblStyle w:val="9"/>
        <w:tblW w:w="5207" w:type="pct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20"/>
        <w:gridCol w:w="3152"/>
        <w:gridCol w:w="1421"/>
        <w:gridCol w:w="2165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vAlign w:val="center"/>
          </w:tcPr>
          <w:p w14:paraId="1281A8D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518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5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0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19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1A78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vMerge w:val="restart"/>
            <w:vAlign w:val="center"/>
          </w:tcPr>
          <w:p w14:paraId="12A4B10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8" w:type="pct"/>
            <w:vAlign w:val="center"/>
          </w:tcPr>
          <w:p w14:paraId="74F27FC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5" w:type="pct"/>
            <w:vAlign w:val="center"/>
          </w:tcPr>
          <w:p w14:paraId="6AA5661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磨甲机</w:t>
            </w:r>
          </w:p>
        </w:tc>
        <w:tc>
          <w:tcPr>
            <w:tcW w:w="800" w:type="pct"/>
            <w:vAlign w:val="center"/>
          </w:tcPr>
          <w:p w14:paraId="52333A2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pct"/>
            <w:vAlign w:val="center"/>
          </w:tcPr>
          <w:p w14:paraId="1802DA5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1A89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vMerge w:val="continue"/>
            <w:vAlign w:val="center"/>
          </w:tcPr>
          <w:p w14:paraId="6FE35B3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Align w:val="center"/>
          </w:tcPr>
          <w:p w14:paraId="5010B52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5" w:type="pct"/>
            <w:vAlign w:val="center"/>
          </w:tcPr>
          <w:p w14:paraId="3ACD7E9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多功能神经康复诊疗系统</w:t>
            </w:r>
          </w:p>
        </w:tc>
        <w:tc>
          <w:tcPr>
            <w:tcW w:w="800" w:type="pct"/>
            <w:vAlign w:val="center"/>
          </w:tcPr>
          <w:p w14:paraId="1A2B9DA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pct"/>
            <w:vAlign w:val="center"/>
          </w:tcPr>
          <w:p w14:paraId="593D090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276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pct"/>
            <w:vMerge w:val="continue"/>
            <w:vAlign w:val="center"/>
          </w:tcPr>
          <w:p w14:paraId="74B09C7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Align w:val="center"/>
          </w:tcPr>
          <w:p w14:paraId="1E92FC6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5" w:type="pct"/>
            <w:vAlign w:val="center"/>
          </w:tcPr>
          <w:p w14:paraId="1183D35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骨质疏松治疗仪</w:t>
            </w:r>
          </w:p>
        </w:tc>
        <w:tc>
          <w:tcPr>
            <w:tcW w:w="800" w:type="pct"/>
            <w:vAlign w:val="center"/>
          </w:tcPr>
          <w:p w14:paraId="2D4F44E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9" w:type="pct"/>
            <w:vAlign w:val="center"/>
          </w:tcPr>
          <w:p w14:paraId="5D262E5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 w14:paraId="2B7D5A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5BFD4A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6B0C4D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63143D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6A602D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4EA42D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7D0122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0489F7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237500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BA70D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6435B8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31FC7979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磨甲机</w:t>
      </w:r>
    </w:p>
    <w:p w14:paraId="739899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适合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人体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指、趾甲打磨、修整形状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至少配置4种打磨头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1个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脚踏开关。</w:t>
      </w:r>
    </w:p>
    <w:p w14:paraId="35E3391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转速：≥4万转，扭矩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  <w:t>：≥4.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  <w:t>N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  <w:t>cm，功率：≥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  <w:t>0瓦。</w:t>
      </w:r>
    </w:p>
    <w:p w14:paraId="773D3A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支持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转速显示。</w:t>
      </w:r>
    </w:p>
    <w:p w14:paraId="0DDF19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多功能神经康复诊疗系统</w:t>
      </w:r>
    </w:p>
    <w:p w14:paraId="26D01A0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六种治疗模式，包括：PBF1、PBF2模式（小肌群，大肌群）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NBF模式（多媒体生物反馈）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TENS1模式（感觉型障碍及神经促通治疗）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TENS2模式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ESFN（小脑顶核仿生电刺激，又称脑循环治疗）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7CF15A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EMG放大器灵敏度：2～1000μV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C1A4E5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嵌入式计算机系统、医用隔离电源（4000V隔离安全标准）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3877C1D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彩色液晶显示器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内置扬声器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022600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刺激波形：方波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059AD59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输出电流：0mA～50mA可调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FBA333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刺激频率：1Hz～250Hz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500E91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脉冲宽度：50～600μs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D7F26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最大刺激持续时间：60S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6BF18A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多媒体语音系统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226FFE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支持人工外触发功能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515BD5F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具有自动检测、自动报警功能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72443C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可通过NBF模式分析表面肌电峰值、平均值及面积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17C9879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54" w:leftChars="0" w:hanging="454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治疗过程包括休息、用力、刺激、维持（功能位）四种状态构成的“闭环”显示及治疗过程的时间进度条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  <w:lang w:eastAsia="zh-CN"/>
        </w:rPr>
        <w:t>。</w:t>
      </w:r>
    </w:p>
    <w:p w14:paraId="26DD46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vertAlign w:val="baseline"/>
          <w:lang w:val="en-US" w:eastAsia="zh-CN"/>
        </w:rPr>
        <w:t>骨质疏松治疗仪</w:t>
      </w:r>
    </w:p>
    <w:p w14:paraId="34BFF39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  <w:t>★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设备组成：微电脑操控台、治疗床、床面治疗器、环状治疗器、加热垫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03D2B87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▲床面七节履带式磁疗器和可移动的双环状治疗器进行全方位治疗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1FD7239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环状治疗器由精密电机配合丝杆驱使进行移动治疗，更加平稳安全，4、最大磁场强度为4mT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5FC31F0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▲工作频率：1Hz～100Hz连续可调，步长为1Hz，精度为±10%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6427644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▲设备具有自动程序、编辑程序、手动程序：</w:t>
      </w:r>
    </w:p>
    <w:p w14:paraId="7E42B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自动程序有6种治疗模式选择：老年性、绝经后、股骨头、颈椎、腿部、手臂，可针对全身治疗，也可针对局部部位；治疗环根据设定的参数进行移动治疗；</w:t>
      </w:r>
    </w:p>
    <w:p w14:paraId="196DE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具有十种编辑程序，用户可以根据不同的病症及病情严重程度进行分步骤治疗，每个步骤都可以独立设置工作时间、输出波形、治疗强度、治疗频率及治疗环位置，设置完毕自动保存治疗方案；</w:t>
      </w:r>
    </w:p>
    <w:p w14:paraId="2860E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手动程序是一种快捷治疗方式，可进行工作时间、输出波形、治疗强度、治疗频率及治疗环位置的调节，参数不保存，适用于简单的治疗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6C390F8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▲五种输出波形：正弦波、半正弦波、方波、三角波、脉冲波。波形周期为 0.01s-1s，精度为±10% ；其中脉冲的有效脉宽为5ms±10％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4F5663B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治疗仪具有定时功能，可在1min～99min 范围内设定所需时间，步距增量为 1min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2EA8810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设备具有床面加热垫，配置独立加热开关，可单独开启或关闭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4EA4E3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电源要求:AC 220V±10%，50Hz±2%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00FCB211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设备功率：400VA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shd w:val="clear" w:fill="FFFFFF"/>
          <w:lang w:val="en-US" w:eastAsia="zh-CN" w:bidi="ar-SA"/>
        </w:rPr>
        <w:t>。</w:t>
      </w:r>
    </w:p>
    <w:p w14:paraId="064A8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六、评分细则</w:t>
      </w:r>
    </w:p>
    <w:tbl>
      <w:tblPr>
        <w:tblStyle w:val="8"/>
        <w:tblW w:w="5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67"/>
        <w:gridCol w:w="600"/>
        <w:gridCol w:w="6579"/>
      </w:tblGrid>
      <w:tr w14:paraId="3CB7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C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评分因素及权重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1F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2254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1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4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0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A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%（计算后保留小数点后两位）。</w:t>
            </w:r>
          </w:p>
        </w:tc>
      </w:tr>
      <w:tr w14:paraId="4B31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F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技术指标和配置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2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51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▲参数为重要参数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共8项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，不满足扣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7BA1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一般条款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共15项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一项不满足扣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分，扣完为止。</w:t>
            </w:r>
          </w:p>
          <w:p w14:paraId="1FC2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4.技术参数的项数:①无子项的条款以每项条款为计数项;②有子项的条款以最末等级的子项为计数项。</w:t>
            </w:r>
          </w:p>
          <w:p w14:paraId="3B82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3275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医疗器械注册证、一类医疗器械备案凭证、产品说明书、官网截图包含网址、国家认可的第三方检测报告中的任意一种或多种方式）。</w:t>
            </w:r>
          </w:p>
          <w:p w14:paraId="6762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医疗器械注册证、一类医疗器械备案凭证、产品说明书、官网截图包含网址、国家认可的第三方检测报告中的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1FA78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</w:tr>
      <w:tr w14:paraId="7878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7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1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服务方案10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20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6E6605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2.在商务要求的质保期限基础上每增加一年的2分，最高得4分。</w:t>
            </w:r>
          </w:p>
        </w:tc>
      </w:tr>
      <w:tr w14:paraId="0755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F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B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履约能力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E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5B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投标人提供自2021年1月1日至今医疗设备类业绩（至少包含投标设备其中一种型号），每提供一个业绩得1分，最高得5分。（须提供业绩合同（协议）或中标/成交通知书复印件等有效证明文件）。</w:t>
            </w:r>
          </w:p>
        </w:tc>
      </w:tr>
    </w:tbl>
    <w:p w14:paraId="29A7B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七、商务要求</w:t>
      </w:r>
    </w:p>
    <w:p w14:paraId="416B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1、交货期：合同签订后30日内交货，并完成安装验收。</w:t>
      </w:r>
    </w:p>
    <w:p w14:paraId="7703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2、交货地点：江油市人民医院指定地点。</w:t>
      </w:r>
    </w:p>
    <w:p w14:paraId="3B32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3、质保期：整机质保2年。</w:t>
      </w:r>
    </w:p>
    <w:p w14:paraId="671F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4、国产设备生产日期距离交货期不超过半年，进口设备生产日期距离交货期不超过一年。</w:t>
      </w:r>
    </w:p>
    <w:p w14:paraId="02ED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5、质保期内同一故障出现3次，维修后仍不能达到甲方使用要求的，免费更换同品牌同型号的新机器，质保期同时重新计算。</w:t>
      </w:r>
    </w:p>
    <w:bookmarkEnd w:id="0"/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6BAFE8"/>
    <w:multiLevelType w:val="singleLevel"/>
    <w:tmpl w:val="716BAFE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793EDE06"/>
    <w:multiLevelType w:val="singleLevel"/>
    <w:tmpl w:val="793EDE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795E6453"/>
    <w:multiLevelType w:val="singleLevel"/>
    <w:tmpl w:val="795E6453"/>
    <w:lvl w:ilvl="0" w:tentative="0">
      <w:start w:val="1"/>
      <w:numFmt w:val="decimal"/>
      <w:suff w:val="space"/>
      <w:lvlText w:val="(%1)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3CEC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00793B"/>
    <w:rsid w:val="02CF5D33"/>
    <w:rsid w:val="03024946"/>
    <w:rsid w:val="037E6D6A"/>
    <w:rsid w:val="04642403"/>
    <w:rsid w:val="04955FCE"/>
    <w:rsid w:val="050562AF"/>
    <w:rsid w:val="058F3C3A"/>
    <w:rsid w:val="064A387B"/>
    <w:rsid w:val="068943A3"/>
    <w:rsid w:val="06C673A5"/>
    <w:rsid w:val="0A2368BD"/>
    <w:rsid w:val="0AFF4C34"/>
    <w:rsid w:val="0B9335CE"/>
    <w:rsid w:val="0BCB720C"/>
    <w:rsid w:val="0BDF05C2"/>
    <w:rsid w:val="0C807FF6"/>
    <w:rsid w:val="0C8F3D96"/>
    <w:rsid w:val="0C997B2B"/>
    <w:rsid w:val="0CAC4948"/>
    <w:rsid w:val="0D5D3E94"/>
    <w:rsid w:val="0E653000"/>
    <w:rsid w:val="0EB126E9"/>
    <w:rsid w:val="10022AD1"/>
    <w:rsid w:val="104F21BA"/>
    <w:rsid w:val="10AF1616"/>
    <w:rsid w:val="111807FE"/>
    <w:rsid w:val="115D0906"/>
    <w:rsid w:val="12023429"/>
    <w:rsid w:val="12906AB9"/>
    <w:rsid w:val="12B14522"/>
    <w:rsid w:val="12BE53D5"/>
    <w:rsid w:val="12D20FED"/>
    <w:rsid w:val="12D6104B"/>
    <w:rsid w:val="13B30CB1"/>
    <w:rsid w:val="13E60F39"/>
    <w:rsid w:val="1410212D"/>
    <w:rsid w:val="15592FD3"/>
    <w:rsid w:val="155E2E9F"/>
    <w:rsid w:val="16D056D6"/>
    <w:rsid w:val="16E573D4"/>
    <w:rsid w:val="17563E2E"/>
    <w:rsid w:val="17AD5A18"/>
    <w:rsid w:val="1AD255F6"/>
    <w:rsid w:val="1B6C6FC4"/>
    <w:rsid w:val="1C1D316C"/>
    <w:rsid w:val="1C766D20"/>
    <w:rsid w:val="1CAE64BA"/>
    <w:rsid w:val="1CCA094A"/>
    <w:rsid w:val="1CE95744"/>
    <w:rsid w:val="1CFC0FD3"/>
    <w:rsid w:val="1D725739"/>
    <w:rsid w:val="1D7C3EC2"/>
    <w:rsid w:val="1DE877AA"/>
    <w:rsid w:val="1DEB1F70"/>
    <w:rsid w:val="1E0C16EA"/>
    <w:rsid w:val="1E475F29"/>
    <w:rsid w:val="1F1A3993"/>
    <w:rsid w:val="1F5275D0"/>
    <w:rsid w:val="1FC65617"/>
    <w:rsid w:val="20765541"/>
    <w:rsid w:val="211A0130"/>
    <w:rsid w:val="215A09BE"/>
    <w:rsid w:val="219263AA"/>
    <w:rsid w:val="21B06830"/>
    <w:rsid w:val="21DA38AD"/>
    <w:rsid w:val="2208041A"/>
    <w:rsid w:val="225C4C01"/>
    <w:rsid w:val="22C24A6D"/>
    <w:rsid w:val="231B23CF"/>
    <w:rsid w:val="23290648"/>
    <w:rsid w:val="2338088B"/>
    <w:rsid w:val="23815B2C"/>
    <w:rsid w:val="23C51DE7"/>
    <w:rsid w:val="23DA5DE6"/>
    <w:rsid w:val="23DD1433"/>
    <w:rsid w:val="24107A5A"/>
    <w:rsid w:val="24535D9D"/>
    <w:rsid w:val="253908EB"/>
    <w:rsid w:val="26F62F37"/>
    <w:rsid w:val="270A2CFD"/>
    <w:rsid w:val="271C22A8"/>
    <w:rsid w:val="27F36E03"/>
    <w:rsid w:val="2881717D"/>
    <w:rsid w:val="28F70980"/>
    <w:rsid w:val="297B7724"/>
    <w:rsid w:val="2A8F56BB"/>
    <w:rsid w:val="2ABD492F"/>
    <w:rsid w:val="2AD57308"/>
    <w:rsid w:val="2ADB2B70"/>
    <w:rsid w:val="2B33475A"/>
    <w:rsid w:val="2D0363AE"/>
    <w:rsid w:val="2D8A43D9"/>
    <w:rsid w:val="2D9B65E7"/>
    <w:rsid w:val="2DA9362C"/>
    <w:rsid w:val="2DB449ED"/>
    <w:rsid w:val="2DE7182C"/>
    <w:rsid w:val="2E116DBF"/>
    <w:rsid w:val="2E556795"/>
    <w:rsid w:val="2F3C5BA7"/>
    <w:rsid w:val="2FC54729"/>
    <w:rsid w:val="2FEA75AA"/>
    <w:rsid w:val="300F506A"/>
    <w:rsid w:val="30470360"/>
    <w:rsid w:val="30763455"/>
    <w:rsid w:val="30BF083E"/>
    <w:rsid w:val="30E6401D"/>
    <w:rsid w:val="31BB7257"/>
    <w:rsid w:val="326C2300"/>
    <w:rsid w:val="3301513E"/>
    <w:rsid w:val="33DA14EB"/>
    <w:rsid w:val="347B0F20"/>
    <w:rsid w:val="3511718E"/>
    <w:rsid w:val="35492DCC"/>
    <w:rsid w:val="35957DBF"/>
    <w:rsid w:val="359A7184"/>
    <w:rsid w:val="363D46DF"/>
    <w:rsid w:val="364D0D4A"/>
    <w:rsid w:val="36686B20"/>
    <w:rsid w:val="36692A9A"/>
    <w:rsid w:val="3699568D"/>
    <w:rsid w:val="36F154C9"/>
    <w:rsid w:val="379540A7"/>
    <w:rsid w:val="38143F27"/>
    <w:rsid w:val="385B3D5C"/>
    <w:rsid w:val="393B7CFC"/>
    <w:rsid w:val="3A1E4827"/>
    <w:rsid w:val="3A685AA2"/>
    <w:rsid w:val="3B8E778B"/>
    <w:rsid w:val="3BBD597A"/>
    <w:rsid w:val="3BC96A15"/>
    <w:rsid w:val="3C720E5A"/>
    <w:rsid w:val="3CB11D10"/>
    <w:rsid w:val="3D06577C"/>
    <w:rsid w:val="3D314871"/>
    <w:rsid w:val="3D5A3DC8"/>
    <w:rsid w:val="3E021D6A"/>
    <w:rsid w:val="3EF1250A"/>
    <w:rsid w:val="408E5B37"/>
    <w:rsid w:val="409E1713"/>
    <w:rsid w:val="40E62FD0"/>
    <w:rsid w:val="40EB11DB"/>
    <w:rsid w:val="417D0085"/>
    <w:rsid w:val="425012F6"/>
    <w:rsid w:val="42A8311F"/>
    <w:rsid w:val="430D71E7"/>
    <w:rsid w:val="43D917BF"/>
    <w:rsid w:val="45E926E7"/>
    <w:rsid w:val="46DA7D28"/>
    <w:rsid w:val="47680E90"/>
    <w:rsid w:val="47BB64CF"/>
    <w:rsid w:val="47D26C51"/>
    <w:rsid w:val="483B2AFD"/>
    <w:rsid w:val="483B7B91"/>
    <w:rsid w:val="48D03190"/>
    <w:rsid w:val="48EF5E00"/>
    <w:rsid w:val="49507E2D"/>
    <w:rsid w:val="4B4703FA"/>
    <w:rsid w:val="4B895879"/>
    <w:rsid w:val="4C1F29EB"/>
    <w:rsid w:val="4C4F0870"/>
    <w:rsid w:val="4C935807"/>
    <w:rsid w:val="4CA50490"/>
    <w:rsid w:val="4CBE1552"/>
    <w:rsid w:val="4D662315"/>
    <w:rsid w:val="4D981AA9"/>
    <w:rsid w:val="4E0016E3"/>
    <w:rsid w:val="4ED5227C"/>
    <w:rsid w:val="4F297CD5"/>
    <w:rsid w:val="4F3B50DC"/>
    <w:rsid w:val="4F4977F9"/>
    <w:rsid w:val="4F895E47"/>
    <w:rsid w:val="4FCE255C"/>
    <w:rsid w:val="50146059"/>
    <w:rsid w:val="506234E1"/>
    <w:rsid w:val="513B7CBE"/>
    <w:rsid w:val="52D9013C"/>
    <w:rsid w:val="530F0D59"/>
    <w:rsid w:val="54694499"/>
    <w:rsid w:val="549239F0"/>
    <w:rsid w:val="54EF04CB"/>
    <w:rsid w:val="54F2623D"/>
    <w:rsid w:val="55205C54"/>
    <w:rsid w:val="55A439DB"/>
    <w:rsid w:val="561D378D"/>
    <w:rsid w:val="575F6F15"/>
    <w:rsid w:val="57761160"/>
    <w:rsid w:val="58B54151"/>
    <w:rsid w:val="58D81BED"/>
    <w:rsid w:val="59BE6E0C"/>
    <w:rsid w:val="59FB2037"/>
    <w:rsid w:val="5B4812AC"/>
    <w:rsid w:val="5C50666A"/>
    <w:rsid w:val="5CC41775"/>
    <w:rsid w:val="5D094A6B"/>
    <w:rsid w:val="5D327B1E"/>
    <w:rsid w:val="5E541D16"/>
    <w:rsid w:val="5E59557E"/>
    <w:rsid w:val="5E6837F3"/>
    <w:rsid w:val="5EA7453C"/>
    <w:rsid w:val="5EC92704"/>
    <w:rsid w:val="5F1A4D0E"/>
    <w:rsid w:val="5F4104EC"/>
    <w:rsid w:val="600C397D"/>
    <w:rsid w:val="602A5424"/>
    <w:rsid w:val="60600E46"/>
    <w:rsid w:val="608545DD"/>
    <w:rsid w:val="60C05441"/>
    <w:rsid w:val="61665FE8"/>
    <w:rsid w:val="61A62889"/>
    <w:rsid w:val="61B56F70"/>
    <w:rsid w:val="61F72C88"/>
    <w:rsid w:val="625D4F42"/>
    <w:rsid w:val="628726BA"/>
    <w:rsid w:val="62CF1BD7"/>
    <w:rsid w:val="634E142A"/>
    <w:rsid w:val="6393508F"/>
    <w:rsid w:val="644C3BBB"/>
    <w:rsid w:val="64847AF3"/>
    <w:rsid w:val="64AB1728"/>
    <w:rsid w:val="65532D27"/>
    <w:rsid w:val="655B348B"/>
    <w:rsid w:val="658A0E9D"/>
    <w:rsid w:val="65A76BCF"/>
    <w:rsid w:val="65DA67A1"/>
    <w:rsid w:val="663577A3"/>
    <w:rsid w:val="66652D12"/>
    <w:rsid w:val="674E19F8"/>
    <w:rsid w:val="67981FE4"/>
    <w:rsid w:val="68113AB9"/>
    <w:rsid w:val="684150B9"/>
    <w:rsid w:val="68445EEF"/>
    <w:rsid w:val="688558EE"/>
    <w:rsid w:val="68EF2D67"/>
    <w:rsid w:val="68F4037D"/>
    <w:rsid w:val="6905258B"/>
    <w:rsid w:val="691C1682"/>
    <w:rsid w:val="6A0C7949"/>
    <w:rsid w:val="6A9D4EF8"/>
    <w:rsid w:val="6B811C71"/>
    <w:rsid w:val="6BB87D88"/>
    <w:rsid w:val="6C2B67AC"/>
    <w:rsid w:val="6C2C42D2"/>
    <w:rsid w:val="6CA36342"/>
    <w:rsid w:val="6D0D04EA"/>
    <w:rsid w:val="6D505D9E"/>
    <w:rsid w:val="6DAE7EAB"/>
    <w:rsid w:val="6E3A43B9"/>
    <w:rsid w:val="6FB57E20"/>
    <w:rsid w:val="6FC0545D"/>
    <w:rsid w:val="7054535D"/>
    <w:rsid w:val="70756248"/>
    <w:rsid w:val="707D334E"/>
    <w:rsid w:val="7084648B"/>
    <w:rsid w:val="70D731B9"/>
    <w:rsid w:val="726A7902"/>
    <w:rsid w:val="72B312A9"/>
    <w:rsid w:val="73337CF4"/>
    <w:rsid w:val="73634A7D"/>
    <w:rsid w:val="73830C7C"/>
    <w:rsid w:val="743E1047"/>
    <w:rsid w:val="746877C2"/>
    <w:rsid w:val="75703482"/>
    <w:rsid w:val="75A26218"/>
    <w:rsid w:val="76127224"/>
    <w:rsid w:val="76257DC8"/>
    <w:rsid w:val="76B13D52"/>
    <w:rsid w:val="76B92C06"/>
    <w:rsid w:val="76E2215D"/>
    <w:rsid w:val="779F004E"/>
    <w:rsid w:val="77CD6969"/>
    <w:rsid w:val="784A620C"/>
    <w:rsid w:val="78A0407E"/>
    <w:rsid w:val="795310F0"/>
    <w:rsid w:val="795E2D86"/>
    <w:rsid w:val="7AD13AB4"/>
    <w:rsid w:val="7B6E5D6D"/>
    <w:rsid w:val="7C373D77"/>
    <w:rsid w:val="7CC16371"/>
    <w:rsid w:val="7D0050EB"/>
    <w:rsid w:val="7D7F0706"/>
    <w:rsid w:val="7DC720AD"/>
    <w:rsid w:val="7EAB1087"/>
    <w:rsid w:val="7EF807BB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2479</Words>
  <Characters>2633</Characters>
  <Lines>2</Lines>
  <Paragraphs>1</Paragraphs>
  <TotalTime>4</TotalTime>
  <ScaleCrop>false</ScaleCrop>
  <LinksUpToDate>false</LinksUpToDate>
  <CharactersWithSpaces>2642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2025-03-11T09:01:17Z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550238790EF94157B8608E241CB3C0BC_13</vt:lpwstr>
  </property>
  <property fmtid="{D5CDD505-2E9C-101B-9397-08002B2CF9AE}" pid="4" name="KSOTemplateDocerSaveRecord">
    <vt:lpwstr>eyJoZGlkIjoiMGVkODcyYjllY2U5NTY1ZTkzNDEzYzU2YTlkZjMyNzkiLCJ1c2VySWQiOiI0MTM4MTk3NTMifQ==</vt:lpwstr>
  </property>
</Properties>
</file>