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08AE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江油市人民医院</w:t>
      </w:r>
    </w:p>
    <w:p w14:paraId="0FC912A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直线加速器维保（全保）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项目采购需求</w:t>
      </w:r>
    </w:p>
    <w:p w14:paraId="7329BBD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项目名称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数量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预算金额:</w:t>
      </w:r>
    </w:p>
    <w:tbl>
      <w:tblPr>
        <w:tblStyle w:val="13"/>
        <w:tblW w:w="5600" w:type="pct"/>
        <w:tblInd w:w="-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192"/>
        <w:gridCol w:w="3178"/>
        <w:gridCol w:w="1472"/>
        <w:gridCol w:w="2292"/>
      </w:tblGrid>
      <w:tr w14:paraId="767E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pct"/>
            <w:vAlign w:val="center"/>
          </w:tcPr>
          <w:p w14:paraId="3C084398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分包号</w:t>
            </w:r>
          </w:p>
        </w:tc>
        <w:tc>
          <w:tcPr>
            <w:tcW w:w="624" w:type="pct"/>
            <w:vAlign w:val="center"/>
          </w:tcPr>
          <w:p w14:paraId="1CF8059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64" w:type="pct"/>
            <w:vAlign w:val="center"/>
          </w:tcPr>
          <w:p w14:paraId="2C7F58FB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71" w:type="pct"/>
            <w:vAlign w:val="center"/>
          </w:tcPr>
          <w:p w14:paraId="405F0FDE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200" w:type="pct"/>
            <w:vAlign w:val="center"/>
          </w:tcPr>
          <w:p w14:paraId="75305B63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预算金额（万元）</w:t>
            </w:r>
          </w:p>
        </w:tc>
      </w:tr>
      <w:tr w14:paraId="1A78C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pct"/>
            <w:vAlign w:val="center"/>
          </w:tcPr>
          <w:p w14:paraId="3E56AE97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分包1</w:t>
            </w:r>
          </w:p>
        </w:tc>
        <w:tc>
          <w:tcPr>
            <w:tcW w:w="624" w:type="pct"/>
            <w:vAlign w:val="center"/>
          </w:tcPr>
          <w:p w14:paraId="74F27FC0">
            <w:pPr>
              <w:pStyle w:val="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after="0" w:line="36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4" w:type="pct"/>
            <w:vAlign w:val="center"/>
          </w:tcPr>
          <w:p w14:paraId="6AA56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直线加速器维保（全保）</w:t>
            </w:r>
          </w:p>
        </w:tc>
        <w:tc>
          <w:tcPr>
            <w:tcW w:w="771" w:type="pct"/>
            <w:vAlign w:val="center"/>
          </w:tcPr>
          <w:p w14:paraId="5233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00" w:type="pct"/>
            <w:vAlign w:val="center"/>
          </w:tcPr>
          <w:p w14:paraId="1802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27</w:t>
            </w:r>
          </w:p>
        </w:tc>
      </w:tr>
    </w:tbl>
    <w:p w14:paraId="6583455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二、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项目类型：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服务类</w:t>
      </w:r>
    </w:p>
    <w:p w14:paraId="14573D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三、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院内比选（综合评分法）</w:t>
      </w:r>
    </w:p>
    <w:p w14:paraId="0258414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四、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资格要求：</w:t>
      </w:r>
    </w:p>
    <w:p w14:paraId="6D95F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1.具有独立承担民事责任的能力。（提供承诺函）</w:t>
      </w:r>
    </w:p>
    <w:p w14:paraId="4065E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2.具有良好的商业信誉。（提供承诺函）</w:t>
      </w:r>
    </w:p>
    <w:p w14:paraId="40CF7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3.具有健全的财务会计制度。（提供承诺函）</w:t>
      </w:r>
    </w:p>
    <w:p w14:paraId="3A051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4.具有履行合同所必需的设备和专业技术能力。（提供承诺函）</w:t>
      </w:r>
    </w:p>
    <w:p w14:paraId="5489E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5.有依法缴纳税收和社会保障资金的良好记录。（提供承诺函）</w:t>
      </w:r>
    </w:p>
    <w:p w14:paraId="41F10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6.参加本次采购活动前三年内，在经营活动中没有重大违法记录。（提供承诺函）</w:t>
      </w:r>
    </w:p>
    <w:p w14:paraId="1AB0C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7.不存在与单位负责人为同一人或者存在直接控股、管理关系的其他供应商参与同一合同项下的采购活动的行为。（提供承诺函）</w:t>
      </w:r>
    </w:p>
    <w:p w14:paraId="782A1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8.不属于为本项目提供整体设计、规范编制或者项目管理、监理、检测等服务的供应商。（提供承诺函）</w:t>
      </w:r>
    </w:p>
    <w:p w14:paraId="4D242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9.若投标产品及其配置产品为医疗器械的，须符合《医疗器械监督管理条例》规定并提供： ①投标产品及其配置产品《医疗器械注册证》或备案凭证（一类医疗器械适用）； ②提供制造商《医疗器械生产许可证》或生产备案凭证（一类医疗器械适用）； ③供应商须具有《医疗器械经营许可证》或备案凭证（二类及以下医疗器械适用）。</w:t>
      </w:r>
    </w:p>
    <w:p w14:paraId="1D830A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10.若投标产品及其配置产品为进口产品的，投标供应商若为投标产品非生产厂家需提供产品完整链的授权证明。 </w:t>
      </w:r>
    </w:p>
    <w:p w14:paraId="6B4565C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五、技术参数、要求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eastAsia="zh-CN"/>
        </w:rPr>
        <w:t>：</w:t>
      </w:r>
    </w:p>
    <w:p w14:paraId="1E62D25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default" w:ascii="仿宋" w:hAnsi="仿宋" w:eastAsia="仿宋" w:cs="仿宋"/>
          <w:sz w:val="21"/>
          <w:szCs w:val="21"/>
          <w:lang w:val="en-US" w:eastAsia="zh-CN"/>
        </w:rPr>
        <w:t>★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实质参数（提供承诺函）：</w:t>
      </w:r>
    </w:p>
    <w:p w14:paraId="7398B9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4"/>
        </w:rPr>
        <w:t>保修范围：医科达Elekta Compact直线加速器整机及其附属第三方设备（即包含：主机、床、控制系统、激光灯、苏州雷泰外挂光栅）。</w:t>
      </w:r>
    </w:p>
    <w:p w14:paraId="6560A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sz w:val="24"/>
        </w:rPr>
        <w:t>保修内容：在服务期内免费提供保修范围内设备所有配件的更换、维修、保养以及质控服务。</w:t>
      </w:r>
    </w:p>
    <w:p w14:paraId="513998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仿宋" w:hAnsi="仿宋" w:eastAsia="仿宋" w:cs="仿宋"/>
          <w:b/>
          <w:bCs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lang w:val="en-US" w:eastAsia="zh-CN"/>
        </w:rPr>
        <w:t>技术参数：</w:t>
      </w:r>
    </w:p>
    <w:p w14:paraId="51AA30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▲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sz w:val="24"/>
        </w:rPr>
        <w:t>我院直线加速器已使用8年，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需要</w:t>
      </w:r>
      <w:r>
        <w:rPr>
          <w:rFonts w:hint="eastAsia" w:ascii="仿宋" w:hAnsi="仿宋" w:eastAsia="仿宋" w:cs="仿宋"/>
          <w:color w:val="000000"/>
          <w:sz w:val="24"/>
        </w:rPr>
        <w:t>拥有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至少</w:t>
      </w:r>
      <w:r>
        <w:rPr>
          <w:rFonts w:hint="eastAsia" w:ascii="仿宋" w:hAnsi="仿宋" w:eastAsia="仿宋" w:cs="仿宋"/>
          <w:color w:val="000000"/>
          <w:sz w:val="24"/>
        </w:rPr>
        <w:t>两名经过直线加速器厂家认证的工程师，提供厂家培训证书。提供的培训证书中，至少一名工程师的培训证书培训内容包含本项目设备型号COMPACT字样。</w:t>
      </w:r>
    </w:p>
    <w:p w14:paraId="1B247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▲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sz w:val="24"/>
        </w:rPr>
        <w:t>整机保修用户至少3家，提供同型号设备维保服务合同。提供的合同起始期需在2021年度（包含）及以后（全保或技术保，不包含单次维修合同）。</w:t>
      </w:r>
    </w:p>
    <w:p w14:paraId="6A4D54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</w:rPr>
        <w:t>设备保养：投标人对设备提供一年至少 4 次的定期维护与保养，调试与参数校正，并提供保养报告单，每少一次标准保养罚款2万元。</w:t>
      </w:r>
    </w:p>
    <w:p w14:paraId="3F79E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24"/>
        </w:rPr>
        <w:t>在省内设有常驻加速器维修工程师及零备件仓库，零配件必须是原厂配件，确保每天24小时零备件供应，并提供相关技术支持。导致停机的配件需要专人派送，最大限度减少停机时间。</w:t>
      </w:r>
    </w:p>
    <w:p w14:paraId="497BB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5.</w:t>
      </w:r>
      <w:r>
        <w:rPr>
          <w:rFonts w:hint="eastAsia" w:ascii="仿宋" w:hAnsi="仿宋" w:eastAsia="仿宋" w:cs="仿宋"/>
          <w:color w:val="000000"/>
          <w:sz w:val="24"/>
        </w:rPr>
        <w:t>质量控制：更换完大件，如枪、靶、均整块、散射箔、电离室、飞行管后，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投标人</w:t>
      </w:r>
      <w:r>
        <w:rPr>
          <w:rFonts w:hint="eastAsia" w:ascii="仿宋" w:hAnsi="仿宋" w:eastAsia="仿宋" w:cs="仿宋"/>
          <w:color w:val="000000"/>
          <w:sz w:val="24"/>
        </w:rPr>
        <w:t>需要使用三维水箱等工具测量profile、PDD等曲线并达到出厂指标，并由双方签字认可。提供每年不少于一次的全面质控服务，并出具QA/QC报告。</w:t>
      </w:r>
    </w:p>
    <w:p w14:paraId="27FF11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sz w:val="24"/>
        </w:rPr>
        <w:t>维修响应及现场维修：电话报修后，投标人工程师初次电话支持响应时间为 30 分钟内，在电话支持无法解决故障的情况下，须保证 6 小时内工程师到达现场处理故障，否则医院有权解除合同，并要求投标人按照2万元/天赔偿医院损失。</w:t>
      </w:r>
    </w:p>
    <w:p w14:paraId="378D0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7.</w:t>
      </w:r>
      <w:r>
        <w:rPr>
          <w:rFonts w:hint="eastAsia" w:ascii="仿宋" w:hAnsi="仿宋" w:eastAsia="仿宋" w:cs="仿宋"/>
          <w:color w:val="000000"/>
          <w:sz w:val="24"/>
        </w:rPr>
        <w:t>投标人保证开机率在95％以上（按1年365天计算，含节假日），全年维修总时间≤18天，每超过一天，按照2万元/天赔偿医院损失；连续停机超过一个月仍无法解除故障，医院可解除保修合同。</w:t>
      </w:r>
    </w:p>
    <w:p w14:paraId="3BB01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8.</w:t>
      </w:r>
      <w:r>
        <w:rPr>
          <w:rFonts w:hint="eastAsia" w:ascii="仿宋" w:hAnsi="仿宋" w:eastAsia="仿宋" w:cs="仿宋"/>
          <w:color w:val="000000"/>
          <w:sz w:val="24"/>
        </w:rPr>
        <w:t>每年请专业物理人员完成一次直线加速器物理数据测量，确保数据准确可靠。</w:t>
      </w:r>
    </w:p>
    <w:p w14:paraId="5130C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▲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9.</w:t>
      </w:r>
      <w:r>
        <w:rPr>
          <w:rFonts w:hint="eastAsia" w:ascii="仿宋" w:hAnsi="仿宋" w:eastAsia="仿宋" w:cs="仿宋"/>
          <w:color w:val="000000"/>
          <w:sz w:val="24"/>
        </w:rPr>
        <w:t>直线加速器的外挂光栅为苏州雷泰生产，投标人需提供至少1份关于苏州雷泰外挂光栅维保服务的合同，提供的合同起始期需在2021年度（包含）及以后（全保或技术保，不包含单次维修合同）。</w:t>
      </w:r>
    </w:p>
    <w:p w14:paraId="6F942AF8">
      <w:pPr>
        <w:bidi w:val="0"/>
        <w:rPr>
          <w:rFonts w:hint="eastAsia"/>
          <w:lang w:val="en-US" w:eastAsia="zh-CN"/>
        </w:rPr>
      </w:pPr>
    </w:p>
    <w:p w14:paraId="20D89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lang w:val="en-US" w:eastAsia="zh-CN"/>
        </w:rPr>
        <w:t>评分标准</w:t>
      </w:r>
    </w:p>
    <w:tbl>
      <w:tblPr>
        <w:tblStyle w:val="12"/>
        <w:tblW w:w="9629" w:type="dxa"/>
        <w:tblInd w:w="-509" w:type="dxa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122"/>
        <w:gridCol w:w="768"/>
        <w:gridCol w:w="6292"/>
      </w:tblGrid>
      <w:tr w14:paraId="25E33DE7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5FF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16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评审因素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741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分值</w:t>
            </w:r>
          </w:p>
        </w:tc>
        <w:tc>
          <w:tcPr>
            <w:tcW w:w="6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54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评分标准</w:t>
            </w:r>
          </w:p>
        </w:tc>
      </w:tr>
      <w:tr w14:paraId="23F31B33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34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投标报价</w:t>
            </w:r>
          </w:p>
          <w:p w14:paraId="5E55DD68">
            <w:pPr>
              <w:pStyle w:val="11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（10分）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70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投标报价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D1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分</w:t>
            </w:r>
          </w:p>
        </w:tc>
        <w:tc>
          <w:tcPr>
            <w:tcW w:w="6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08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满足采购人文件要求且磋商报价最低的报价为基准价，其价格分为满分。其他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投标人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的价格分 统一按照下列公式计算：报价得分=(基准价／报价)* 10%*100。</w:t>
            </w:r>
          </w:p>
        </w:tc>
      </w:tr>
      <w:tr w14:paraId="435E4DE5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4C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商务部分</w:t>
            </w:r>
          </w:p>
          <w:p w14:paraId="38FDD1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27分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EA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企业综合实力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BB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6分</w:t>
            </w:r>
          </w:p>
        </w:tc>
        <w:tc>
          <w:tcPr>
            <w:tcW w:w="6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C339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投标单位提供：ISO9001质量管理体系证书、ISO13485质量管理体系认证证书、ISO45001职业健康安全管理体系认证证书、ISO/IEC27001:2022信息安全管理体系认证证书、</w:t>
            </w:r>
          </w:p>
          <w:p w14:paraId="7FF96D2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ISO14001环境管理体系认证证书、国家高新技术企业证书。</w:t>
            </w:r>
          </w:p>
          <w:p w14:paraId="6C10338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每一个证书得1分，最高得6分，不提供不得分。</w:t>
            </w:r>
          </w:p>
        </w:tc>
      </w:tr>
      <w:tr w14:paraId="2B782B49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CE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25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人员技术配置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4D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16分</w:t>
            </w:r>
          </w:p>
        </w:tc>
        <w:tc>
          <w:tcPr>
            <w:tcW w:w="6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D9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拟投入本项目服务人员：维修工程师为本单位工程师，不得外借或授权，以培训证书为依据。</w:t>
            </w:r>
          </w:p>
          <w:p w14:paraId="7FCBE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1、医科达原厂培训工程师，每提供一名得2分，最高得8分；</w:t>
            </w:r>
          </w:p>
          <w:p w14:paraId="3374D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2、投标人工程师团队具有安全员培训证书，每提供一名得1分，最高得2分。</w:t>
            </w:r>
          </w:p>
          <w:p w14:paraId="1F80B686">
            <w:pPr>
              <w:pStyle w:val="8"/>
              <w:numPr>
                <w:ilvl w:val="0"/>
                <w:numId w:val="2"/>
              </w:numPr>
              <w:spacing w:line="36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投标人工程师团队具有质控产品培训证书，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每提供一名得1分，最高得2分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  <w:p w14:paraId="5693DF19">
            <w:pPr>
              <w:pStyle w:val="8"/>
              <w:numPr>
                <w:ilvl w:val="0"/>
                <w:numId w:val="2"/>
              </w:numPr>
              <w:spacing w:line="36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投标人工程师团队具有辐射剂量校准员证书，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每提供一名得1分，最高得2分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  <w:p w14:paraId="1F59ED16">
            <w:pPr>
              <w:pStyle w:val="8"/>
              <w:numPr>
                <w:ilvl w:val="0"/>
                <w:numId w:val="2"/>
              </w:numPr>
              <w:spacing w:line="36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投标人工程师团队具有高级项目管理师证书，每提供1名得一分，最高得1分。</w:t>
            </w:r>
          </w:p>
          <w:p w14:paraId="2B8CE761">
            <w:pPr>
              <w:pStyle w:val="8"/>
              <w:numPr>
                <w:ilvl w:val="0"/>
                <w:numId w:val="2"/>
              </w:numPr>
              <w:spacing w:line="36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投标人工程师团队具有物理师证书，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每提供一名得1分，最高得1分。</w:t>
            </w:r>
          </w:p>
          <w:p w14:paraId="3EB86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以上人员名单均需提供社保缴纳文件或者其他在职证明材料。</w:t>
            </w:r>
          </w:p>
        </w:tc>
      </w:tr>
      <w:tr w14:paraId="71381D65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4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6C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82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类似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业绩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A3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5分</w:t>
            </w:r>
          </w:p>
        </w:tc>
        <w:tc>
          <w:tcPr>
            <w:tcW w:w="6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37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投标人需提供近三年（合同起始日期为2021年度及以后）至今完成的类似业绩，每份合同得1分，最多得5分，不提供不得分。类似业绩是指医科达品牌直线加速器维保全保服务合同，提供合同复印件。</w:t>
            </w:r>
          </w:p>
        </w:tc>
      </w:tr>
      <w:tr w14:paraId="3ECCD152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4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23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 w14:paraId="06661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技术部分</w:t>
            </w:r>
          </w:p>
          <w:p w14:paraId="62C16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63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分）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CA4A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技术服务要求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65377">
            <w:pPr>
              <w:adjustRightInd w:val="0"/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23分</w:t>
            </w:r>
          </w:p>
        </w:tc>
        <w:tc>
          <w:tcPr>
            <w:tcW w:w="6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59E7D">
            <w:pPr>
              <w:adjustRightInd w:val="0"/>
              <w:snapToGrid w:val="0"/>
              <w:spacing w:line="360" w:lineRule="auto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带“★”要求为实质性要求，不满足视为投标文件响应无效。</w:t>
            </w:r>
          </w:p>
          <w:p w14:paraId="0AF66F18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②完全符合技术参数要求没有负偏离得23分，与技术参数要求有负偏离的，带“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▲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”参数一项不满足扣5分，非带“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▲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”参数一项不满足扣1分，本项分扣完为止。（带“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▲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”参数共计3项，非“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▲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”参数8项（包含带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“★”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参数2项））</w:t>
            </w:r>
          </w:p>
        </w:tc>
      </w:tr>
      <w:tr w14:paraId="2463A220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F4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D8A7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维保服务方案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A5683">
            <w:pPr>
              <w:adjustRightInd w:val="0"/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30分</w:t>
            </w:r>
          </w:p>
        </w:tc>
        <w:tc>
          <w:tcPr>
            <w:tcW w:w="6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1E9B1">
            <w:pPr>
              <w:widowControl/>
              <w:spacing w:line="360" w:lineRule="auto"/>
              <w:jc w:val="both"/>
              <w:textAlignment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投标人提供的维保服务方案需包含： </w:t>
            </w:r>
          </w:p>
          <w:p w14:paraId="198D3F4F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①服务管理制度；</w:t>
            </w:r>
          </w:p>
          <w:p w14:paraId="403D9CBD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②维保服务流程；</w:t>
            </w:r>
          </w:p>
          <w:p w14:paraId="6C0D9AC5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③维保人员配置；</w:t>
            </w:r>
          </w:p>
          <w:p w14:paraId="0497DEB7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④应急预案；</w:t>
            </w:r>
          </w:p>
          <w:p w14:paraId="1C412BD5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⑤针对项目方培训方案。</w:t>
            </w:r>
          </w:p>
          <w:p w14:paraId="5DDF22EE">
            <w:pPr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以上五个方面，根据方案完整程度和项目合理性进行打分，每一项缺失或逻辑错误等扣3分，扣完为止。</w:t>
            </w:r>
          </w:p>
        </w:tc>
      </w:tr>
      <w:tr w14:paraId="270B1EB3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BB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EA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定期预防性保养方案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7E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5分</w:t>
            </w:r>
          </w:p>
        </w:tc>
        <w:tc>
          <w:tcPr>
            <w:tcW w:w="6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62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根据投标人定期预防性保养方案响应程度优劣进行打分：</w:t>
            </w:r>
          </w:p>
          <w:p w14:paraId="4EF33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预防性保养方案需非常细致、全面，针对性强，根据方案完整程度和项目合理性进行打分，每一项缺失或逻辑错误等扣3分，扣完为止。</w:t>
            </w:r>
          </w:p>
        </w:tc>
      </w:tr>
      <w:tr w14:paraId="304A663F"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4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F2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C0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零配件供应能力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21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5分</w:t>
            </w:r>
          </w:p>
        </w:tc>
        <w:tc>
          <w:tcPr>
            <w:tcW w:w="6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C4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投标人需提供零配件供应的方案：</w:t>
            </w:r>
          </w:p>
          <w:p w14:paraId="535FA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包含（零配件管理制度、供应链的管理、备件库、提供备件清单、零配件配送等）。根据方案完整程度和项目合理性进行打分，每一项缺失或逻辑错误等扣2分，扣完为止。</w:t>
            </w:r>
          </w:p>
        </w:tc>
      </w:tr>
    </w:tbl>
    <w:p w14:paraId="320BB701">
      <w:pPr>
        <w:spacing w:line="360" w:lineRule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</w:t>
      </w:r>
    </w:p>
    <w:p w14:paraId="60F64BB9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64F2BCF"/>
    <w:multiLevelType w:val="singleLevel"/>
    <w:tmpl w:val="464F2BC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D5459"/>
    <w:rsid w:val="00092D8A"/>
    <w:rsid w:val="000A5752"/>
    <w:rsid w:val="000A784C"/>
    <w:rsid w:val="00126F18"/>
    <w:rsid w:val="00157E16"/>
    <w:rsid w:val="001C08FC"/>
    <w:rsid w:val="0021166B"/>
    <w:rsid w:val="002B029C"/>
    <w:rsid w:val="002F0E2D"/>
    <w:rsid w:val="003972C9"/>
    <w:rsid w:val="003A0159"/>
    <w:rsid w:val="004C31CC"/>
    <w:rsid w:val="004D0BA2"/>
    <w:rsid w:val="004D7E11"/>
    <w:rsid w:val="005309B3"/>
    <w:rsid w:val="00597A48"/>
    <w:rsid w:val="00621F85"/>
    <w:rsid w:val="007972D1"/>
    <w:rsid w:val="007C4ADB"/>
    <w:rsid w:val="007D20E9"/>
    <w:rsid w:val="00906EA9"/>
    <w:rsid w:val="0094345E"/>
    <w:rsid w:val="009A6761"/>
    <w:rsid w:val="009F62EB"/>
    <w:rsid w:val="00A10C8C"/>
    <w:rsid w:val="00A64501"/>
    <w:rsid w:val="00AD5459"/>
    <w:rsid w:val="00B25289"/>
    <w:rsid w:val="00B401EB"/>
    <w:rsid w:val="00BB19CA"/>
    <w:rsid w:val="00C87981"/>
    <w:rsid w:val="00C93E96"/>
    <w:rsid w:val="00CC6F74"/>
    <w:rsid w:val="00D00D9A"/>
    <w:rsid w:val="00D560DF"/>
    <w:rsid w:val="00DD1F01"/>
    <w:rsid w:val="00EE2D81"/>
    <w:rsid w:val="00EE34B4"/>
    <w:rsid w:val="00F02A49"/>
    <w:rsid w:val="00F3572B"/>
    <w:rsid w:val="00F75BE2"/>
    <w:rsid w:val="0A950154"/>
    <w:rsid w:val="158C17BA"/>
    <w:rsid w:val="16775FC6"/>
    <w:rsid w:val="1771320A"/>
    <w:rsid w:val="17E05DED"/>
    <w:rsid w:val="18975246"/>
    <w:rsid w:val="19C61DDA"/>
    <w:rsid w:val="1D24677C"/>
    <w:rsid w:val="1F301408"/>
    <w:rsid w:val="230706D2"/>
    <w:rsid w:val="24A4328B"/>
    <w:rsid w:val="265F1B56"/>
    <w:rsid w:val="27CE7A10"/>
    <w:rsid w:val="27E32BEC"/>
    <w:rsid w:val="2A47375C"/>
    <w:rsid w:val="2DC54412"/>
    <w:rsid w:val="2F3848BF"/>
    <w:rsid w:val="3416678C"/>
    <w:rsid w:val="35C87EC3"/>
    <w:rsid w:val="3BB47700"/>
    <w:rsid w:val="3CD20EC5"/>
    <w:rsid w:val="3CDE1B82"/>
    <w:rsid w:val="3F0833B0"/>
    <w:rsid w:val="486D0275"/>
    <w:rsid w:val="4A2512BA"/>
    <w:rsid w:val="4D742CD6"/>
    <w:rsid w:val="506B7C43"/>
    <w:rsid w:val="53051C89"/>
    <w:rsid w:val="5A8C5300"/>
    <w:rsid w:val="5B8152D1"/>
    <w:rsid w:val="5F3D1093"/>
    <w:rsid w:val="600E06E8"/>
    <w:rsid w:val="63D9724E"/>
    <w:rsid w:val="6421628A"/>
    <w:rsid w:val="69706045"/>
    <w:rsid w:val="6B596BBE"/>
    <w:rsid w:val="6F4C3750"/>
    <w:rsid w:val="704679F6"/>
    <w:rsid w:val="761E2EDE"/>
    <w:rsid w:val="76C26375"/>
    <w:rsid w:val="7C732024"/>
    <w:rsid w:val="7E6B2A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  <w:rPr>
      <w:rFonts w:ascii="Times New Roman"/>
      <w:kern w:val="2"/>
      <w:sz w:val="21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after="120" w:afterLines="0"/>
    </w:pPr>
    <w:rPr>
      <w:rFonts w:ascii="Times New Roman"/>
      <w:kern w:val="2"/>
      <w:sz w:val="21"/>
      <w:szCs w:val="24"/>
    </w:rPr>
  </w:style>
  <w:style w:type="paragraph" w:styleId="5">
    <w:name w:val="Body Text First Indent 2"/>
    <w:basedOn w:val="1"/>
    <w:qFormat/>
    <w:uiPriority w:val="0"/>
    <w:pPr>
      <w:spacing w:after="120" w:line="240" w:lineRule="auto"/>
      <w:ind w:left="420" w:leftChars="200" w:firstLine="420"/>
    </w:pPr>
  </w:style>
  <w:style w:type="paragraph" w:styleId="6">
    <w:name w:val="Body Text Indent"/>
    <w:basedOn w:val="1"/>
    <w:next w:val="7"/>
    <w:qFormat/>
    <w:uiPriority w:val="0"/>
    <w:pPr>
      <w:spacing w:line="540" w:lineRule="exact"/>
      <w:ind w:firstLine="480" w:firstLineChars="200"/>
    </w:pPr>
    <w:rPr>
      <w:rFonts w:ascii="Times New Roman"/>
      <w:kern w:val="2"/>
      <w:sz w:val="24"/>
      <w:szCs w:val="24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hint="eastAsia" w:ascii="Arial" w:hAnsi="Arial"/>
    </w:rPr>
  </w:style>
  <w:style w:type="paragraph" w:styleId="8">
    <w:name w:val="endnote text"/>
    <w:basedOn w:val="1"/>
    <w:semiHidden/>
    <w:qFormat/>
    <w:uiPriority w:val="0"/>
    <w:pPr>
      <w:snapToGrid w:val="0"/>
      <w:jc w:val="left"/>
    </w:pPr>
  </w:style>
  <w:style w:type="paragraph" w:styleId="9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table of figures"/>
    <w:basedOn w:val="1"/>
    <w:next w:val="1"/>
    <w:qFormat/>
    <w:uiPriority w:val="0"/>
    <w:pPr>
      <w:spacing w:line="360" w:lineRule="auto"/>
      <w:ind w:left="200" w:leftChars="200" w:hanging="200" w:hangingChars="200"/>
    </w:pPr>
    <w:rPr>
      <w:rFonts w:ascii="宋体"/>
      <w:kern w:val="0"/>
      <w:sz w:val="34"/>
      <w:szCs w:val="20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semiHidden/>
    <w:unhideWhenUsed/>
    <w:qFormat/>
    <w:uiPriority w:val="99"/>
    <w:rPr>
      <w:color w:val="000000"/>
      <w:u w:val="none"/>
    </w:rPr>
  </w:style>
  <w:style w:type="character" w:styleId="16">
    <w:name w:val="Hyperlink"/>
    <w:basedOn w:val="14"/>
    <w:semiHidden/>
    <w:unhideWhenUsed/>
    <w:qFormat/>
    <w:uiPriority w:val="99"/>
    <w:rPr>
      <w:color w:val="000000"/>
      <w:u w:val="none"/>
    </w:rPr>
  </w:style>
  <w:style w:type="character" w:styleId="17">
    <w:name w:val="HTML Cite"/>
    <w:basedOn w:val="14"/>
    <w:semiHidden/>
    <w:unhideWhenUsed/>
    <w:qFormat/>
    <w:uiPriority w:val="99"/>
  </w:style>
  <w:style w:type="paragraph" w:styleId="18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character" w:customStyle="1" w:styleId="19">
    <w:name w:val="页眉 Char"/>
    <w:basedOn w:val="14"/>
    <w:link w:val="10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4"/>
    <w:link w:val="9"/>
    <w:semiHidden/>
    <w:qFormat/>
    <w:uiPriority w:val="99"/>
    <w:rPr>
      <w:sz w:val="18"/>
      <w:szCs w:val="18"/>
    </w:rPr>
  </w:style>
  <w:style w:type="character" w:customStyle="1" w:styleId="21">
    <w:name w:val="NormalCharacter"/>
    <w:semiHidden/>
    <w:qFormat/>
    <w:uiPriority w:val="0"/>
  </w:style>
  <w:style w:type="paragraph" w:customStyle="1" w:styleId="22">
    <w:name w:val="179"/>
    <w:basedOn w:val="1"/>
    <w:qFormat/>
    <w:uiPriority w:val="0"/>
    <w:pPr>
      <w:widowControl/>
      <w:ind w:firstLine="42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2443</Words>
  <Characters>2569</Characters>
  <Lines>12</Lines>
  <Paragraphs>3</Paragraphs>
  <TotalTime>27</TotalTime>
  <ScaleCrop>false</ScaleCrop>
  <LinksUpToDate>false</LinksUpToDate>
  <CharactersWithSpaces>2585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甯仁义</cp:lastModifiedBy>
  <dcterms:modified xsi:type="dcterms:W3CDTF">2024-12-09T01:44:26Z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EDA8BE6CB1CF4879AB6A916112E43BA5</vt:lpwstr>
  </property>
</Properties>
</file>