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8FB58">
      <w:pPr>
        <w:jc w:val="center"/>
        <w:rPr>
          <w:rFonts w:ascii="宋体" w:hAnsi="宋体"/>
          <w:b/>
          <w:sz w:val="36"/>
          <w:szCs w:val="28"/>
        </w:rPr>
      </w:pPr>
      <w:r>
        <w:rPr>
          <w:rFonts w:hint="eastAsia" w:ascii="宋体" w:hAnsi="宋体"/>
          <w:b/>
          <w:sz w:val="36"/>
          <w:szCs w:val="28"/>
        </w:rPr>
        <w:t>江油市人民医院</w:t>
      </w:r>
    </w:p>
    <w:p w14:paraId="36D67E6C">
      <w:pPr>
        <w:jc w:val="center"/>
        <w:rPr>
          <w:rFonts w:hint="eastAsia" w:ascii="宋体" w:hAnsi="宋体"/>
          <w:b/>
          <w:sz w:val="36"/>
          <w:szCs w:val="28"/>
        </w:rPr>
      </w:pPr>
      <w:r>
        <w:rPr>
          <w:rFonts w:hint="eastAsia" w:ascii="宋体" w:hAnsi="宋体"/>
          <w:b/>
          <w:sz w:val="36"/>
          <w:szCs w:val="28"/>
          <w:lang w:val="en-US" w:eastAsia="zh-CN"/>
        </w:rPr>
        <w:t>下水管道临时性疏通服务</w:t>
      </w:r>
      <w:r>
        <w:rPr>
          <w:rFonts w:hint="eastAsia" w:ascii="宋体" w:hAnsi="宋体"/>
          <w:b/>
          <w:sz w:val="36"/>
          <w:szCs w:val="28"/>
        </w:rPr>
        <w:t>项目采购需求</w:t>
      </w:r>
    </w:p>
    <w:p w14:paraId="7B20C7DE">
      <w:pPr>
        <w:numPr>
          <w:ilvl w:val="0"/>
          <w:numId w:val="1"/>
        </w:numPr>
        <w:rPr>
          <w:rFonts w:hint="eastAsia" w:ascii="宋体" w:hAnsi="宋体"/>
          <w:b/>
          <w:sz w:val="28"/>
          <w:szCs w:val="28"/>
        </w:rPr>
      </w:pPr>
      <w:r>
        <w:rPr>
          <w:rFonts w:hint="eastAsia" w:ascii="宋体" w:hAnsi="宋体"/>
          <w:b/>
          <w:sz w:val="28"/>
          <w:szCs w:val="28"/>
        </w:rPr>
        <w:t>项目名称</w:t>
      </w:r>
      <w:r>
        <w:rPr>
          <w:rFonts w:hint="eastAsia" w:ascii="宋体" w:hAnsi="宋体"/>
          <w:b/>
          <w:sz w:val="28"/>
          <w:szCs w:val="28"/>
          <w:lang w:eastAsia="zh-CN"/>
        </w:rPr>
        <w:t>、</w:t>
      </w:r>
      <w:r>
        <w:rPr>
          <w:rFonts w:hint="eastAsia" w:ascii="宋体" w:hAnsi="宋体"/>
          <w:b/>
          <w:sz w:val="28"/>
          <w:szCs w:val="28"/>
        </w:rPr>
        <w:t>数量</w:t>
      </w:r>
      <w:r>
        <w:rPr>
          <w:rFonts w:hint="eastAsia" w:ascii="宋体" w:hAnsi="宋体"/>
          <w:b/>
          <w:sz w:val="28"/>
          <w:szCs w:val="28"/>
          <w:lang w:eastAsia="zh-CN"/>
        </w:rPr>
        <w:t>、</w:t>
      </w:r>
      <w:r>
        <w:rPr>
          <w:rFonts w:hint="eastAsia" w:ascii="宋体" w:hAnsi="宋体"/>
          <w:b/>
          <w:sz w:val="28"/>
          <w:szCs w:val="28"/>
        </w:rPr>
        <w:t>预算金额:</w:t>
      </w:r>
    </w:p>
    <w:tbl>
      <w:tblPr>
        <w:tblStyle w:val="6"/>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760"/>
        <w:gridCol w:w="2312"/>
        <w:gridCol w:w="2367"/>
      </w:tblGrid>
      <w:tr w14:paraId="6AF0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tcPr>
          <w:p w14:paraId="691A0B2E">
            <w:pPr>
              <w:pStyle w:val="2"/>
              <w:numPr>
                <w:ilvl w:val="0"/>
                <w:numId w:val="0"/>
              </w:numPr>
              <w:rPr>
                <w:rFonts w:hint="default"/>
                <w:vertAlign w:val="baseline"/>
                <w:lang w:val="en-US" w:eastAsia="zh-CN"/>
              </w:rPr>
            </w:pPr>
            <w:r>
              <w:rPr>
                <w:rFonts w:hint="eastAsia"/>
                <w:vertAlign w:val="baseline"/>
                <w:lang w:val="en-US" w:eastAsia="zh-CN"/>
              </w:rPr>
              <w:t>序号</w:t>
            </w:r>
          </w:p>
        </w:tc>
        <w:tc>
          <w:tcPr>
            <w:tcW w:w="1644" w:type="pct"/>
          </w:tcPr>
          <w:p w14:paraId="728B21DA">
            <w:pPr>
              <w:pStyle w:val="2"/>
              <w:numPr>
                <w:ilvl w:val="0"/>
                <w:numId w:val="0"/>
              </w:numPr>
              <w:rPr>
                <w:rFonts w:hint="default" w:eastAsia="宋体"/>
                <w:vertAlign w:val="baseline"/>
                <w:lang w:val="en-US" w:eastAsia="zh-CN"/>
              </w:rPr>
            </w:pPr>
            <w:r>
              <w:rPr>
                <w:rFonts w:hint="eastAsia"/>
                <w:vertAlign w:val="baseline"/>
                <w:lang w:val="en-US" w:eastAsia="zh-CN"/>
              </w:rPr>
              <w:t>项目名称</w:t>
            </w:r>
          </w:p>
        </w:tc>
        <w:tc>
          <w:tcPr>
            <w:tcW w:w="1377" w:type="pct"/>
          </w:tcPr>
          <w:p w14:paraId="124FA575">
            <w:pPr>
              <w:pStyle w:val="2"/>
              <w:numPr>
                <w:ilvl w:val="0"/>
                <w:numId w:val="0"/>
              </w:numPr>
              <w:rPr>
                <w:rFonts w:hint="eastAsia" w:eastAsia="宋体"/>
                <w:vertAlign w:val="baseline"/>
                <w:lang w:val="en-US" w:eastAsia="zh-CN"/>
              </w:rPr>
            </w:pPr>
            <w:r>
              <w:rPr>
                <w:rFonts w:hint="eastAsia"/>
                <w:vertAlign w:val="baseline"/>
                <w:lang w:val="en-US" w:eastAsia="zh-CN"/>
              </w:rPr>
              <w:t>数量</w:t>
            </w:r>
          </w:p>
        </w:tc>
        <w:tc>
          <w:tcPr>
            <w:tcW w:w="1410" w:type="pct"/>
          </w:tcPr>
          <w:p w14:paraId="33C0914C">
            <w:pPr>
              <w:pStyle w:val="2"/>
              <w:numPr>
                <w:ilvl w:val="0"/>
                <w:numId w:val="0"/>
              </w:numPr>
              <w:rPr>
                <w:rFonts w:hint="default" w:eastAsia="宋体"/>
                <w:vertAlign w:val="baseline"/>
                <w:lang w:val="en-US" w:eastAsia="zh-CN"/>
              </w:rPr>
            </w:pPr>
            <w:r>
              <w:rPr>
                <w:rFonts w:hint="eastAsia"/>
                <w:vertAlign w:val="baseline"/>
                <w:lang w:val="en-US" w:eastAsia="zh-CN"/>
              </w:rPr>
              <w:t>预算金额（万元）</w:t>
            </w:r>
          </w:p>
        </w:tc>
      </w:tr>
      <w:tr w14:paraId="6718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vAlign w:val="top"/>
          </w:tcPr>
          <w:p w14:paraId="6347D9F8">
            <w:pPr>
              <w:pStyle w:val="2"/>
              <w:numPr>
                <w:ilvl w:val="0"/>
                <w:numId w:val="0"/>
              </w:numPr>
              <w:ind w:left="0" w:leftChars="0" w:firstLine="0" w:firstLineChars="0"/>
              <w:rPr>
                <w:rFonts w:hint="eastAsia" w:ascii="Calibri" w:hAnsi="Calibri" w:eastAsia="宋体" w:cs="Times New Roman"/>
                <w:kern w:val="2"/>
                <w:sz w:val="21"/>
                <w:szCs w:val="22"/>
                <w:vertAlign w:val="baseline"/>
                <w:lang w:val="en-US" w:eastAsia="zh-CN" w:bidi="ar-SA"/>
              </w:rPr>
            </w:pPr>
            <w:r>
              <w:rPr>
                <w:rFonts w:hint="eastAsia"/>
                <w:vertAlign w:val="baseline"/>
                <w:lang w:val="en-US" w:eastAsia="zh-CN"/>
              </w:rPr>
              <w:t>1</w:t>
            </w:r>
          </w:p>
        </w:tc>
        <w:tc>
          <w:tcPr>
            <w:tcW w:w="1644" w:type="pct"/>
          </w:tcPr>
          <w:p w14:paraId="78A004DD">
            <w:pPr>
              <w:pStyle w:val="2"/>
              <w:numPr>
                <w:ilvl w:val="0"/>
                <w:numId w:val="0"/>
              </w:numPr>
              <w:rPr>
                <w:rFonts w:hint="default" w:eastAsia="宋体"/>
                <w:vertAlign w:val="baseline"/>
                <w:lang w:val="en-US" w:eastAsia="zh-CN"/>
              </w:rPr>
            </w:pPr>
            <w:r>
              <w:rPr>
                <w:rFonts w:hint="eastAsia"/>
                <w:vertAlign w:val="baseline"/>
                <w:lang w:val="en-US" w:eastAsia="zh-CN"/>
              </w:rPr>
              <w:t>下水管道临时性疏通服务</w:t>
            </w:r>
          </w:p>
        </w:tc>
        <w:tc>
          <w:tcPr>
            <w:tcW w:w="1377" w:type="pct"/>
          </w:tcPr>
          <w:p w14:paraId="61473947">
            <w:pPr>
              <w:pStyle w:val="2"/>
              <w:numPr>
                <w:ilvl w:val="0"/>
                <w:numId w:val="0"/>
              </w:numPr>
              <w:rPr>
                <w:rFonts w:hint="default" w:eastAsia="宋体"/>
                <w:vertAlign w:val="baseline"/>
                <w:lang w:val="en-US" w:eastAsia="zh-CN"/>
              </w:rPr>
            </w:pPr>
            <w:r>
              <w:rPr>
                <w:rFonts w:hint="eastAsia"/>
                <w:vertAlign w:val="baseline"/>
                <w:lang w:val="en-US" w:eastAsia="zh-CN"/>
              </w:rPr>
              <w:t>2年</w:t>
            </w:r>
          </w:p>
        </w:tc>
        <w:tc>
          <w:tcPr>
            <w:tcW w:w="1410" w:type="pct"/>
          </w:tcPr>
          <w:p w14:paraId="718C8BDA">
            <w:pPr>
              <w:pStyle w:val="2"/>
              <w:numPr>
                <w:ilvl w:val="0"/>
                <w:numId w:val="0"/>
              </w:numPr>
              <w:rPr>
                <w:rFonts w:hint="default" w:eastAsia="宋体"/>
                <w:vertAlign w:val="baseline"/>
                <w:lang w:val="en-US" w:eastAsia="zh-CN"/>
              </w:rPr>
            </w:pPr>
            <w:r>
              <w:rPr>
                <w:rFonts w:hint="eastAsia"/>
                <w:vertAlign w:val="baseline"/>
                <w:lang w:val="en-US" w:eastAsia="zh-CN"/>
              </w:rPr>
              <w:t>35000/年</w:t>
            </w:r>
          </w:p>
        </w:tc>
      </w:tr>
      <w:tr w14:paraId="6670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vAlign w:val="top"/>
          </w:tcPr>
          <w:p w14:paraId="10F32E7C">
            <w:pPr>
              <w:pStyle w:val="2"/>
              <w:numPr>
                <w:ilvl w:val="0"/>
                <w:numId w:val="0"/>
              </w:numPr>
              <w:ind w:left="0" w:leftChars="0" w:firstLine="0" w:firstLineChars="0"/>
              <w:rPr>
                <w:rFonts w:hint="eastAsia" w:ascii="Calibri" w:hAnsi="Calibri" w:eastAsia="宋体" w:cs="Times New Roman"/>
                <w:kern w:val="2"/>
                <w:sz w:val="21"/>
                <w:szCs w:val="22"/>
                <w:vertAlign w:val="baseline"/>
                <w:lang w:val="en-US" w:eastAsia="zh-CN" w:bidi="ar-SA"/>
              </w:rPr>
            </w:pPr>
          </w:p>
        </w:tc>
        <w:tc>
          <w:tcPr>
            <w:tcW w:w="1644" w:type="pct"/>
          </w:tcPr>
          <w:p w14:paraId="5A263951">
            <w:pPr>
              <w:pStyle w:val="2"/>
              <w:numPr>
                <w:ilvl w:val="0"/>
                <w:numId w:val="0"/>
              </w:numPr>
              <w:rPr>
                <w:vertAlign w:val="baseline"/>
              </w:rPr>
            </w:pPr>
          </w:p>
        </w:tc>
        <w:tc>
          <w:tcPr>
            <w:tcW w:w="1377" w:type="pct"/>
          </w:tcPr>
          <w:p w14:paraId="0FCE1BD6">
            <w:pPr>
              <w:pStyle w:val="2"/>
              <w:numPr>
                <w:ilvl w:val="0"/>
                <w:numId w:val="0"/>
              </w:numPr>
              <w:rPr>
                <w:vertAlign w:val="baseline"/>
              </w:rPr>
            </w:pPr>
          </w:p>
        </w:tc>
        <w:tc>
          <w:tcPr>
            <w:tcW w:w="1410" w:type="pct"/>
          </w:tcPr>
          <w:p w14:paraId="2F9B7E2F">
            <w:pPr>
              <w:pStyle w:val="2"/>
              <w:numPr>
                <w:ilvl w:val="0"/>
                <w:numId w:val="0"/>
              </w:numPr>
              <w:rPr>
                <w:vertAlign w:val="baseline"/>
              </w:rPr>
            </w:pPr>
          </w:p>
        </w:tc>
      </w:tr>
      <w:tr w14:paraId="4A25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vAlign w:val="top"/>
          </w:tcPr>
          <w:p w14:paraId="71F0FEF6">
            <w:pPr>
              <w:pStyle w:val="2"/>
              <w:numPr>
                <w:ilvl w:val="0"/>
                <w:numId w:val="0"/>
              </w:numPr>
              <w:ind w:left="0" w:leftChars="0" w:firstLine="0" w:firstLineChars="0"/>
              <w:rPr>
                <w:rFonts w:hint="default" w:ascii="Calibri" w:hAnsi="Calibri" w:eastAsia="宋体" w:cs="Times New Roman"/>
                <w:kern w:val="2"/>
                <w:sz w:val="21"/>
                <w:szCs w:val="22"/>
                <w:vertAlign w:val="baseline"/>
                <w:lang w:val="en-US" w:eastAsia="zh-CN" w:bidi="ar-SA"/>
              </w:rPr>
            </w:pPr>
          </w:p>
        </w:tc>
        <w:tc>
          <w:tcPr>
            <w:tcW w:w="1644" w:type="pct"/>
          </w:tcPr>
          <w:p w14:paraId="0846667A">
            <w:pPr>
              <w:pStyle w:val="2"/>
              <w:numPr>
                <w:ilvl w:val="0"/>
                <w:numId w:val="0"/>
              </w:numPr>
              <w:rPr>
                <w:vertAlign w:val="baseline"/>
              </w:rPr>
            </w:pPr>
          </w:p>
        </w:tc>
        <w:tc>
          <w:tcPr>
            <w:tcW w:w="1377" w:type="pct"/>
          </w:tcPr>
          <w:p w14:paraId="3DF61A3D">
            <w:pPr>
              <w:pStyle w:val="2"/>
              <w:numPr>
                <w:ilvl w:val="0"/>
                <w:numId w:val="0"/>
              </w:numPr>
              <w:rPr>
                <w:vertAlign w:val="baseline"/>
              </w:rPr>
            </w:pPr>
          </w:p>
        </w:tc>
        <w:tc>
          <w:tcPr>
            <w:tcW w:w="1410" w:type="pct"/>
          </w:tcPr>
          <w:p w14:paraId="7C77AA69">
            <w:pPr>
              <w:pStyle w:val="2"/>
              <w:numPr>
                <w:ilvl w:val="0"/>
                <w:numId w:val="0"/>
              </w:numPr>
              <w:rPr>
                <w:vertAlign w:val="baseline"/>
              </w:rPr>
            </w:pPr>
          </w:p>
        </w:tc>
      </w:tr>
    </w:tbl>
    <w:p w14:paraId="4F15631D">
      <w:pPr>
        <w:pStyle w:val="2"/>
        <w:numPr>
          <w:ilvl w:val="0"/>
          <w:numId w:val="0"/>
        </w:numPr>
      </w:pPr>
    </w:p>
    <w:p w14:paraId="55CB1433">
      <w:pPr>
        <w:rPr>
          <w:rFonts w:hint="default" w:ascii="宋体" w:hAnsi="宋体" w:eastAsia="宋体"/>
          <w:b/>
          <w:sz w:val="28"/>
          <w:szCs w:val="28"/>
          <w:lang w:val="en-US" w:eastAsia="zh-CN"/>
        </w:rPr>
      </w:pPr>
      <w:r>
        <w:rPr>
          <w:rFonts w:hint="eastAsia" w:ascii="宋体" w:hAnsi="宋体"/>
          <w:b/>
          <w:sz w:val="28"/>
          <w:szCs w:val="28"/>
        </w:rPr>
        <w:t>二、</w:t>
      </w:r>
      <w:r>
        <w:rPr>
          <w:rFonts w:hint="eastAsia" w:ascii="宋体" w:hAnsi="宋体"/>
          <w:b/>
          <w:sz w:val="28"/>
          <w:szCs w:val="28"/>
          <w:lang w:val="en-US" w:eastAsia="zh-CN"/>
        </w:rPr>
        <w:t>项目类型：</w:t>
      </w:r>
      <w:r>
        <w:rPr>
          <w:rFonts w:hint="eastAsia" w:ascii="仿宋" w:hAnsi="仿宋" w:eastAsia="仿宋" w:cs="仿宋"/>
          <w:sz w:val="28"/>
          <w:szCs w:val="28"/>
          <w:lang w:val="en-US" w:eastAsia="zh-CN"/>
        </w:rPr>
        <w:t xml:space="preserve">服务类 </w:t>
      </w:r>
    </w:p>
    <w:p w14:paraId="7DF2077F">
      <w:pPr>
        <w:rPr>
          <w:rFonts w:hint="eastAsia" w:ascii="宋体" w:hAnsi="宋体"/>
          <w:b/>
          <w:sz w:val="28"/>
          <w:szCs w:val="28"/>
          <w:lang w:val="en-US" w:eastAsia="zh-CN"/>
        </w:rPr>
      </w:pPr>
      <w:r>
        <w:rPr>
          <w:rFonts w:hint="eastAsia" w:ascii="宋体" w:hAnsi="宋体"/>
          <w:b/>
          <w:sz w:val="28"/>
          <w:szCs w:val="28"/>
        </w:rPr>
        <w:t>三、</w:t>
      </w:r>
      <w:r>
        <w:rPr>
          <w:rFonts w:hint="eastAsia" w:ascii="宋体" w:hAnsi="宋体"/>
          <w:b/>
          <w:sz w:val="28"/>
          <w:szCs w:val="28"/>
          <w:lang w:val="en-US" w:eastAsia="zh-CN"/>
        </w:rPr>
        <w:t>拟用采购方式及评审方法：</w:t>
      </w:r>
      <w:r>
        <w:rPr>
          <w:rFonts w:hint="eastAsia" w:ascii="仿宋" w:hAnsi="仿宋" w:eastAsia="仿宋" w:cs="仿宋"/>
          <w:sz w:val="28"/>
          <w:szCs w:val="28"/>
          <w:lang w:val="en-US" w:eastAsia="zh-CN"/>
        </w:rPr>
        <w:t>院内比选（最低评标价法）</w:t>
      </w:r>
    </w:p>
    <w:p w14:paraId="6C03259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1、具有独立承担民事责任的能力。</w:t>
      </w:r>
    </w:p>
    <w:p w14:paraId="7DCC688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2、具有履行合同所必需的设备和专业技术能力。</w:t>
      </w:r>
    </w:p>
    <w:p w14:paraId="641C0B7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3、有依法缴纳税收和社会保障资金的良好记录。</w:t>
      </w:r>
    </w:p>
    <w:p w14:paraId="4398560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4、参加政府采购活动前三年内，在经营活动中没有重大违法记录。</w:t>
      </w:r>
    </w:p>
    <w:p w14:paraId="2D6369C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5、其它特殊资格要求：</w:t>
      </w:r>
    </w:p>
    <w:p w14:paraId="4ACC4CE4">
      <w:pPr>
        <w:rPr>
          <w:rFonts w:hint="eastAsia" w:ascii="宋体" w:hAnsi="宋体"/>
          <w:b/>
          <w:sz w:val="28"/>
          <w:szCs w:val="28"/>
          <w:lang w:eastAsia="zh-CN"/>
        </w:rPr>
      </w:pPr>
      <w:r>
        <w:rPr>
          <w:rFonts w:hint="eastAsia" w:ascii="宋体" w:hAnsi="宋体"/>
          <w:b/>
          <w:sz w:val="28"/>
          <w:szCs w:val="28"/>
        </w:rPr>
        <w:t>五、技术参数、要求</w:t>
      </w:r>
      <w:r>
        <w:rPr>
          <w:rFonts w:hint="eastAsia" w:ascii="宋体" w:hAnsi="宋体"/>
          <w:b/>
          <w:sz w:val="28"/>
          <w:szCs w:val="28"/>
          <w:lang w:eastAsia="zh-CN"/>
        </w:rPr>
        <w:t>：</w:t>
      </w:r>
    </w:p>
    <w:p w14:paraId="46F3772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1.具有独立的法人资质。</w:t>
      </w:r>
    </w:p>
    <w:p w14:paraId="2BBC420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2.经营范围包含医院排污管道及下水道临时性堵塞疏通工作。</w:t>
      </w:r>
    </w:p>
    <w:p w14:paraId="356B0EA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3.有相应的清掏设备及人员。</w:t>
      </w:r>
    </w:p>
    <w:p w14:paraId="0108DFE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4.有管道疏通时突发事件的应急预案，环境污染的应急预案。</w:t>
      </w:r>
    </w:p>
    <w:p w14:paraId="6D9824F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5.疏通范围：江油市人民医院管辖区域包括但不限于内各楼层排污管道及下水管道等。</w:t>
      </w:r>
    </w:p>
    <w:p w14:paraId="1545B65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6.在合同期内根据业务需求24小时满足疏通作业服务要求，随叫随到进行疏通。</w:t>
      </w:r>
    </w:p>
    <w:p w14:paraId="56F57AC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9.疏通期限为2年，以签订合同时间为准。</w:t>
      </w:r>
    </w:p>
    <w:p w14:paraId="746C41A6">
      <w:pPr>
        <w:keepNext w:val="0"/>
        <w:keepLines w:val="0"/>
        <w:pageBreakBefore w:val="0"/>
        <w:widowControl w:val="0"/>
        <w:numPr>
          <w:ilvl w:val="0"/>
          <w:numId w:val="0"/>
        </w:numPr>
        <w:kinsoku/>
        <w:wordWrap/>
        <w:overflowPunct/>
        <w:topLinePunct w:val="0"/>
        <w:autoSpaceDE/>
        <w:autoSpaceDN/>
        <w:bidi w:val="0"/>
        <w:adjustRightInd w:val="0"/>
        <w:snapToGrid w:val="0"/>
        <w:spacing w:line="324" w:lineRule="auto"/>
        <w:textAlignment w:val="auto"/>
        <w:rPr>
          <w:rFonts w:hint="default" w:ascii="仿宋" w:hAnsi="仿宋" w:eastAsia="仿宋" w:cs="仿宋"/>
          <w:sz w:val="28"/>
          <w:szCs w:val="28"/>
          <w:lang w:val="en-US" w:eastAsia="zh-CN"/>
        </w:rPr>
      </w:pPr>
      <w:r>
        <w:rPr>
          <w:rFonts w:hint="eastAsia" w:ascii="仿宋" w:hAnsi="仿宋" w:eastAsia="仿宋" w:cs="仿宋"/>
          <w:b/>
          <w:bCs/>
          <w:color w:val="auto"/>
          <w:sz w:val="32"/>
          <w:szCs w:val="32"/>
          <w:highlight w:val="none"/>
          <w:lang w:val="en-US" w:eastAsia="zh-CN"/>
        </w:rPr>
        <w:t>★六、疏通费用底价：</w:t>
      </w:r>
      <w:r>
        <w:rPr>
          <w:rFonts w:hint="eastAsia" w:ascii="仿宋" w:hAnsi="仿宋" w:eastAsia="仿宋" w:cs="仿宋"/>
          <w:sz w:val="28"/>
          <w:szCs w:val="28"/>
          <w:lang w:val="en-US" w:eastAsia="zh-CN"/>
        </w:rPr>
        <w:t>主管道60元/次、支管道30元/次，年服务费用不高于年预算总费用，如超出年总预算后中选人免费进行疏通服务。</w:t>
      </w:r>
    </w:p>
    <w:p w14:paraId="49527C10">
      <w:pPr>
        <w:rPr>
          <w:rFonts w:ascii="宋体" w:hAnsi="宋体"/>
          <w:b/>
          <w:sz w:val="28"/>
          <w:szCs w:val="28"/>
        </w:rPr>
      </w:pPr>
      <w:r>
        <w:rPr>
          <w:rFonts w:hint="eastAsia" w:ascii="宋体" w:hAnsi="宋体"/>
          <w:b/>
          <w:sz w:val="28"/>
          <w:szCs w:val="28"/>
          <w:lang w:val="en-US" w:eastAsia="zh-CN"/>
        </w:rPr>
        <w:t>七</w:t>
      </w:r>
      <w:r>
        <w:rPr>
          <w:rFonts w:hint="eastAsia" w:ascii="宋体" w:hAnsi="宋体"/>
          <w:b/>
          <w:sz w:val="28"/>
          <w:szCs w:val="28"/>
        </w:rPr>
        <w:t>、商务要求：</w:t>
      </w:r>
      <w:r>
        <w:rPr>
          <w:rFonts w:ascii="宋体" w:hAnsi="宋体"/>
          <w:b/>
          <w:sz w:val="28"/>
          <w:szCs w:val="28"/>
        </w:rPr>
        <w:t xml:space="preserve"> </w:t>
      </w:r>
    </w:p>
    <w:p w14:paraId="47F175CD">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1、服务期限：2年，以签订合同时间为准。</w:t>
      </w:r>
    </w:p>
    <w:p w14:paraId="6227CE8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2、服务地点：江油市人民医院指定地点。</w:t>
      </w:r>
    </w:p>
    <w:p w14:paraId="56815E44">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3、质保期：≥两年。</w:t>
      </w:r>
    </w:p>
    <w:p w14:paraId="452F6209">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4、履约验收：</w:t>
      </w:r>
    </w:p>
    <w:p w14:paraId="36D80CC9">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（1）排污管道及下水道疏通验收标准：保证作业管道通畅无堵塞现象，申请疏通科室签字确认。</w:t>
      </w:r>
    </w:p>
    <w:p w14:paraId="506A90E0">
      <w:pPr>
        <w:pStyle w:val="2"/>
        <w:rPr>
          <w:rFonts w:hint="default"/>
          <w:lang w:val="en-US" w:eastAsia="zh-CN"/>
        </w:rPr>
      </w:pPr>
      <w:r>
        <w:rPr>
          <w:rFonts w:hint="eastAsia" w:ascii="仿宋" w:hAnsi="仿宋" w:eastAsia="仿宋" w:cs="仿宋"/>
          <w:sz w:val="28"/>
          <w:szCs w:val="28"/>
          <w:lang w:val="en-US" w:eastAsia="zh-CN"/>
        </w:rPr>
        <w:t>（2）接申请疏通科室通知，1小时内到达现场进行疏通作业，未按时到达扣除当月疏通服务费用300元。</w:t>
      </w:r>
    </w:p>
    <w:p w14:paraId="22A4254F">
      <w:pPr>
        <w:numPr>
          <w:ilvl w:val="0"/>
          <w:numId w:val="2"/>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付款方式：每月根据疏通申请人签字确认表，中选人出具当月合法有效的增值税普通发票及凭证资料进行支付结算。售后服务及时可靠，满足要求，招标方在收到中选人每月（付）收款申请后，在30个工作日内支付中选人当月实际疏通作业服务费。</w:t>
      </w:r>
    </w:p>
    <w:p w14:paraId="1AE5BF7F">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6、其他未尽事宜以签订合同为准。</w:t>
      </w:r>
    </w:p>
    <w:p w14:paraId="5EC86141">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p>
    <w:p w14:paraId="5565D381">
      <w:pPr>
        <w:bidi w:val="0"/>
        <w:rPr>
          <w:rFonts w:hint="eastAsia" w:ascii="Calibri" w:hAnsi="Calibri" w:eastAsia="宋体" w:cs="Times New Roman"/>
          <w:kern w:val="2"/>
          <w:sz w:val="21"/>
          <w:szCs w:val="22"/>
          <w:lang w:val="en-US" w:eastAsia="zh-CN" w:bidi="ar-SA"/>
        </w:rPr>
      </w:pPr>
    </w:p>
    <w:p w14:paraId="7FCB8F2B">
      <w:pPr>
        <w:bidi w:val="0"/>
        <w:rPr>
          <w:rFonts w:hint="eastAsia"/>
          <w:lang w:val="en-US" w:eastAsia="zh-CN"/>
        </w:rPr>
      </w:pPr>
    </w:p>
    <w:p w14:paraId="26267A2B">
      <w:pPr>
        <w:rPr>
          <w:rFonts w:hint="default" w:ascii="仿宋" w:hAnsi="仿宋" w:eastAsia="仿宋" w:cs="仿宋"/>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5AD20"/>
    <w:multiLevelType w:val="singleLevel"/>
    <w:tmpl w:val="0B65AD20"/>
    <w:lvl w:ilvl="0" w:tentative="0">
      <w:start w:val="1"/>
      <w:numFmt w:val="chineseCounting"/>
      <w:suff w:val="nothing"/>
      <w:lvlText w:val="%1、"/>
      <w:lvlJc w:val="left"/>
      <w:rPr>
        <w:rFonts w:hint="eastAsia"/>
      </w:rPr>
    </w:lvl>
  </w:abstractNum>
  <w:abstractNum w:abstractNumId="1">
    <w:nsid w:val="7A05C18F"/>
    <w:multiLevelType w:val="singleLevel"/>
    <w:tmpl w:val="7A05C18F"/>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MDA0ZDQxYTM0YmUyZDRhMGI5OWQzZDdmYWZmMDE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4955FCE"/>
    <w:rsid w:val="06095C66"/>
    <w:rsid w:val="12023429"/>
    <w:rsid w:val="15592FD3"/>
    <w:rsid w:val="23C51DE7"/>
    <w:rsid w:val="279133E3"/>
    <w:rsid w:val="2C7C5FD7"/>
    <w:rsid w:val="2E106A67"/>
    <w:rsid w:val="30763455"/>
    <w:rsid w:val="36692A9A"/>
    <w:rsid w:val="38143F27"/>
    <w:rsid w:val="3AE06904"/>
    <w:rsid w:val="45245A8A"/>
    <w:rsid w:val="483B2AFD"/>
    <w:rsid w:val="48EF5E00"/>
    <w:rsid w:val="4A630181"/>
    <w:rsid w:val="4C1F29EB"/>
    <w:rsid w:val="4C566456"/>
    <w:rsid w:val="4E0016E3"/>
    <w:rsid w:val="4ED45CA4"/>
    <w:rsid w:val="500615EC"/>
    <w:rsid w:val="513B7CBE"/>
    <w:rsid w:val="51A146EB"/>
    <w:rsid w:val="597D702C"/>
    <w:rsid w:val="5CC41775"/>
    <w:rsid w:val="62F7237B"/>
    <w:rsid w:val="64AB1728"/>
    <w:rsid w:val="68113AB9"/>
    <w:rsid w:val="7054535D"/>
    <w:rsid w:val="70D731B9"/>
    <w:rsid w:val="795E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749</Words>
  <Characters>767</Characters>
  <Lines>2</Lines>
  <Paragraphs>1</Paragraphs>
  <TotalTime>0</TotalTime>
  <ScaleCrop>false</ScaleCrop>
  <LinksUpToDate>false</LinksUpToDate>
  <CharactersWithSpaces>769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甯仁义</cp:lastModifiedBy>
  <cp:lastPrinted>2024-10-09T01:20:00Z</cp:lastPrinted>
  <dcterms:modified xsi:type="dcterms:W3CDTF">2024-10-16T01:20:34Z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0DF8DD223C0642DB906BB1131A06C7C9_13</vt:lpwstr>
  </property>
</Properties>
</file>