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8FB58">
      <w:pPr>
        <w:jc w:val="center"/>
        <w:rPr>
          <w:rFonts w:ascii="宋体" w:hAnsi="宋体"/>
          <w:b/>
          <w:sz w:val="36"/>
          <w:szCs w:val="28"/>
        </w:rPr>
      </w:pPr>
      <w:r>
        <w:rPr>
          <w:rFonts w:hint="eastAsia" w:ascii="宋体" w:hAnsi="宋体"/>
          <w:b/>
          <w:sz w:val="36"/>
          <w:szCs w:val="28"/>
        </w:rPr>
        <w:t>江油市人民医院</w:t>
      </w:r>
    </w:p>
    <w:p w14:paraId="36D67E6C">
      <w:pPr>
        <w:jc w:val="center"/>
        <w:rPr>
          <w:rFonts w:hint="eastAsia" w:ascii="宋体" w:hAnsi="宋体" w:eastAsia="宋体"/>
          <w:b/>
          <w:sz w:val="36"/>
          <w:szCs w:val="28"/>
          <w:lang w:eastAsia="zh-CN"/>
        </w:rPr>
      </w:pPr>
      <w:r>
        <w:rPr>
          <w:rFonts w:hint="eastAsia" w:ascii="宋体" w:hAnsi="宋体" w:eastAsia="宋体"/>
          <w:b/>
          <w:sz w:val="36"/>
          <w:szCs w:val="28"/>
          <w:lang w:eastAsia="zh-CN"/>
        </w:rPr>
        <w:t>未被污染的医疗外包装物回收、处置</w:t>
      </w:r>
      <w:r>
        <w:rPr>
          <w:rFonts w:hint="eastAsia" w:ascii="宋体" w:hAnsi="宋体" w:eastAsia="宋体"/>
          <w:b/>
          <w:sz w:val="36"/>
          <w:szCs w:val="28"/>
        </w:rPr>
        <w:t>项目</w:t>
      </w:r>
      <w:r>
        <w:rPr>
          <w:rFonts w:hint="eastAsia" w:ascii="宋体" w:hAnsi="宋体" w:eastAsia="宋体"/>
          <w:b/>
          <w:sz w:val="36"/>
          <w:szCs w:val="28"/>
          <w:lang w:val="en-US" w:eastAsia="zh-CN"/>
        </w:rPr>
        <w:t>服务</w:t>
      </w:r>
      <w:r>
        <w:rPr>
          <w:rFonts w:hint="eastAsia" w:ascii="宋体" w:hAnsi="宋体"/>
          <w:b/>
          <w:sz w:val="36"/>
          <w:szCs w:val="28"/>
          <w:lang w:val="en-US" w:eastAsia="zh-CN"/>
        </w:rPr>
        <w:t>要求</w:t>
      </w:r>
      <w:bookmarkStart w:id="1" w:name="_GoBack"/>
      <w:bookmarkEnd w:id="1"/>
    </w:p>
    <w:p w14:paraId="7B20C7DE">
      <w:pPr>
        <w:numPr>
          <w:ilvl w:val="0"/>
          <w:numId w:val="1"/>
        </w:numPr>
        <w:rPr>
          <w:rFonts w:hint="eastAsia" w:ascii="宋体" w:hAnsi="宋体"/>
          <w:b/>
          <w:sz w:val="28"/>
          <w:szCs w:val="28"/>
        </w:rPr>
      </w:pPr>
      <w:r>
        <w:rPr>
          <w:rFonts w:hint="eastAsia" w:ascii="宋体" w:hAnsi="宋体"/>
          <w:b/>
          <w:sz w:val="28"/>
          <w:szCs w:val="28"/>
        </w:rPr>
        <w:t>项目名称</w:t>
      </w:r>
      <w:r>
        <w:rPr>
          <w:rFonts w:hint="eastAsia" w:ascii="宋体" w:hAnsi="宋体"/>
          <w:b/>
          <w:sz w:val="28"/>
          <w:szCs w:val="28"/>
          <w:lang w:eastAsia="zh-CN"/>
        </w:rPr>
        <w:t>、</w:t>
      </w:r>
      <w:r>
        <w:rPr>
          <w:rFonts w:hint="eastAsia" w:ascii="宋体" w:hAnsi="宋体"/>
          <w:b/>
          <w:sz w:val="28"/>
          <w:szCs w:val="28"/>
        </w:rPr>
        <w:t>数量</w:t>
      </w:r>
      <w:r>
        <w:rPr>
          <w:rFonts w:hint="eastAsia" w:ascii="宋体" w:hAnsi="宋体"/>
          <w:b/>
          <w:sz w:val="28"/>
          <w:szCs w:val="28"/>
          <w:lang w:eastAsia="zh-CN"/>
        </w:rPr>
        <w:t>、</w:t>
      </w:r>
      <w:r>
        <w:rPr>
          <w:rFonts w:hint="eastAsia" w:ascii="宋体" w:hAnsi="宋体"/>
          <w:b/>
          <w:sz w:val="28"/>
          <w:szCs w:val="28"/>
        </w:rPr>
        <w:t>预算金额:</w:t>
      </w:r>
    </w:p>
    <w:tbl>
      <w:tblPr>
        <w:tblStyle w:val="6"/>
        <w:tblW w:w="49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2760"/>
        <w:gridCol w:w="2312"/>
        <w:gridCol w:w="2367"/>
      </w:tblGrid>
      <w:tr w14:paraId="6AF00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pct"/>
          </w:tcPr>
          <w:p w14:paraId="691A0B2E">
            <w:pPr>
              <w:pStyle w:val="2"/>
              <w:numPr>
                <w:ilvl w:val="0"/>
                <w:numId w:val="0"/>
              </w:numPr>
              <w:rPr>
                <w:rFonts w:hint="default"/>
                <w:vertAlign w:val="baseline"/>
                <w:lang w:val="en-US" w:eastAsia="zh-CN"/>
              </w:rPr>
            </w:pPr>
            <w:r>
              <w:rPr>
                <w:rFonts w:hint="eastAsia"/>
                <w:vertAlign w:val="baseline"/>
                <w:lang w:val="en-US" w:eastAsia="zh-CN"/>
              </w:rPr>
              <w:t>序号</w:t>
            </w:r>
          </w:p>
        </w:tc>
        <w:tc>
          <w:tcPr>
            <w:tcW w:w="1644" w:type="pct"/>
          </w:tcPr>
          <w:p w14:paraId="728B21DA">
            <w:pPr>
              <w:pStyle w:val="2"/>
              <w:numPr>
                <w:ilvl w:val="0"/>
                <w:numId w:val="0"/>
              </w:numPr>
              <w:rPr>
                <w:rFonts w:hint="default" w:eastAsia="宋体"/>
                <w:vertAlign w:val="baseline"/>
                <w:lang w:val="en-US" w:eastAsia="zh-CN"/>
              </w:rPr>
            </w:pPr>
            <w:r>
              <w:rPr>
                <w:rFonts w:hint="eastAsia"/>
                <w:vertAlign w:val="baseline"/>
                <w:lang w:val="en-US" w:eastAsia="zh-CN"/>
              </w:rPr>
              <w:t>项目名称</w:t>
            </w:r>
          </w:p>
        </w:tc>
        <w:tc>
          <w:tcPr>
            <w:tcW w:w="1377" w:type="pct"/>
          </w:tcPr>
          <w:p w14:paraId="124FA575">
            <w:pPr>
              <w:pStyle w:val="2"/>
              <w:numPr>
                <w:ilvl w:val="0"/>
                <w:numId w:val="0"/>
              </w:numPr>
              <w:rPr>
                <w:rFonts w:hint="eastAsia" w:eastAsia="宋体"/>
                <w:vertAlign w:val="baseline"/>
                <w:lang w:val="en-US" w:eastAsia="zh-CN"/>
              </w:rPr>
            </w:pPr>
            <w:r>
              <w:rPr>
                <w:rFonts w:hint="eastAsia"/>
                <w:vertAlign w:val="baseline"/>
                <w:lang w:val="en-US" w:eastAsia="zh-CN"/>
              </w:rPr>
              <w:t>数量</w:t>
            </w:r>
          </w:p>
        </w:tc>
        <w:tc>
          <w:tcPr>
            <w:tcW w:w="1410" w:type="pct"/>
          </w:tcPr>
          <w:p w14:paraId="33C0914C">
            <w:pPr>
              <w:pStyle w:val="2"/>
              <w:numPr>
                <w:ilvl w:val="0"/>
                <w:numId w:val="0"/>
              </w:numPr>
              <w:rPr>
                <w:rFonts w:hint="default" w:eastAsia="宋体"/>
                <w:vertAlign w:val="baseline"/>
                <w:lang w:val="en-US" w:eastAsia="zh-CN"/>
              </w:rPr>
            </w:pPr>
            <w:r>
              <w:rPr>
                <w:rFonts w:hint="eastAsia"/>
                <w:vertAlign w:val="baseline"/>
                <w:lang w:val="en-US" w:eastAsia="zh-CN"/>
              </w:rPr>
              <w:t>回收费用底价（万元）</w:t>
            </w:r>
          </w:p>
        </w:tc>
      </w:tr>
      <w:tr w14:paraId="67186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pct"/>
            <w:vAlign w:val="top"/>
          </w:tcPr>
          <w:p w14:paraId="6347D9F8">
            <w:pPr>
              <w:pStyle w:val="2"/>
              <w:numPr>
                <w:ilvl w:val="0"/>
                <w:numId w:val="0"/>
              </w:numPr>
              <w:ind w:left="0" w:leftChars="0" w:firstLine="0" w:firstLineChars="0"/>
              <w:rPr>
                <w:rFonts w:hint="eastAsia" w:ascii="Calibri" w:hAnsi="Calibri" w:eastAsia="宋体" w:cs="Times New Roman"/>
                <w:kern w:val="2"/>
                <w:sz w:val="21"/>
                <w:szCs w:val="22"/>
                <w:vertAlign w:val="baseline"/>
                <w:lang w:val="en-US" w:eastAsia="zh-CN" w:bidi="ar-SA"/>
              </w:rPr>
            </w:pPr>
            <w:r>
              <w:rPr>
                <w:rFonts w:hint="eastAsia"/>
                <w:vertAlign w:val="baseline"/>
                <w:lang w:val="en-US" w:eastAsia="zh-CN"/>
              </w:rPr>
              <w:t>1</w:t>
            </w:r>
          </w:p>
        </w:tc>
        <w:tc>
          <w:tcPr>
            <w:tcW w:w="1644" w:type="pct"/>
          </w:tcPr>
          <w:p w14:paraId="78A004DD">
            <w:pPr>
              <w:pStyle w:val="2"/>
              <w:numPr>
                <w:ilvl w:val="0"/>
                <w:numId w:val="0"/>
              </w:numPr>
              <w:rPr>
                <w:rFonts w:hint="default" w:eastAsia="宋体"/>
                <w:vertAlign w:val="baseline"/>
                <w:lang w:val="en-US" w:eastAsia="zh-CN"/>
              </w:rPr>
            </w:pPr>
            <w:r>
              <w:rPr>
                <w:rFonts w:hint="eastAsia" w:eastAsia="宋体"/>
                <w:vertAlign w:val="baseline"/>
                <w:lang w:val="en-US" w:eastAsia="zh-CN"/>
              </w:rPr>
              <w:t>未被污染的医疗外包装物回收、处置服务</w:t>
            </w:r>
          </w:p>
        </w:tc>
        <w:tc>
          <w:tcPr>
            <w:tcW w:w="1377" w:type="pct"/>
          </w:tcPr>
          <w:p w14:paraId="61473947">
            <w:pPr>
              <w:pStyle w:val="2"/>
              <w:numPr>
                <w:ilvl w:val="0"/>
                <w:numId w:val="0"/>
              </w:numPr>
              <w:rPr>
                <w:rFonts w:hint="default" w:eastAsia="宋体"/>
                <w:vertAlign w:val="baseline"/>
                <w:lang w:val="en-US" w:eastAsia="zh-CN"/>
              </w:rPr>
            </w:pPr>
            <w:r>
              <w:rPr>
                <w:rFonts w:hint="eastAsia"/>
                <w:vertAlign w:val="baseline"/>
                <w:lang w:val="en-US" w:eastAsia="zh-CN"/>
              </w:rPr>
              <w:t>3年</w:t>
            </w:r>
          </w:p>
        </w:tc>
        <w:tc>
          <w:tcPr>
            <w:tcW w:w="1410" w:type="pct"/>
          </w:tcPr>
          <w:p w14:paraId="718C8BDA">
            <w:pPr>
              <w:pStyle w:val="2"/>
              <w:numPr>
                <w:ilvl w:val="0"/>
                <w:numId w:val="0"/>
              </w:numPr>
              <w:rPr>
                <w:rFonts w:hint="default" w:eastAsia="宋体"/>
                <w:vertAlign w:val="baseline"/>
                <w:lang w:val="en-US" w:eastAsia="zh-CN"/>
              </w:rPr>
            </w:pPr>
            <w:r>
              <w:rPr>
                <w:rFonts w:hint="eastAsia"/>
                <w:vertAlign w:val="baseline"/>
                <w:lang w:val="en-US" w:eastAsia="zh-CN"/>
              </w:rPr>
              <w:t>2.3万元/年</w:t>
            </w:r>
          </w:p>
        </w:tc>
      </w:tr>
      <w:tr w14:paraId="66709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pct"/>
            <w:vAlign w:val="top"/>
          </w:tcPr>
          <w:p w14:paraId="10F32E7C">
            <w:pPr>
              <w:pStyle w:val="2"/>
              <w:numPr>
                <w:ilvl w:val="0"/>
                <w:numId w:val="0"/>
              </w:numPr>
              <w:ind w:left="0" w:leftChars="0" w:firstLine="0" w:firstLineChars="0"/>
              <w:rPr>
                <w:rFonts w:hint="eastAsia" w:ascii="Calibri" w:hAnsi="Calibri" w:eastAsia="宋体" w:cs="Times New Roman"/>
                <w:kern w:val="2"/>
                <w:sz w:val="21"/>
                <w:szCs w:val="22"/>
                <w:vertAlign w:val="baseline"/>
                <w:lang w:val="en-US" w:eastAsia="zh-CN" w:bidi="ar-SA"/>
              </w:rPr>
            </w:pPr>
          </w:p>
        </w:tc>
        <w:tc>
          <w:tcPr>
            <w:tcW w:w="1644" w:type="pct"/>
          </w:tcPr>
          <w:p w14:paraId="5A263951">
            <w:pPr>
              <w:pStyle w:val="2"/>
              <w:numPr>
                <w:ilvl w:val="0"/>
                <w:numId w:val="0"/>
              </w:numPr>
              <w:rPr>
                <w:vertAlign w:val="baseline"/>
              </w:rPr>
            </w:pPr>
          </w:p>
        </w:tc>
        <w:tc>
          <w:tcPr>
            <w:tcW w:w="1377" w:type="pct"/>
          </w:tcPr>
          <w:p w14:paraId="0FCE1BD6">
            <w:pPr>
              <w:pStyle w:val="2"/>
              <w:numPr>
                <w:ilvl w:val="0"/>
                <w:numId w:val="0"/>
              </w:numPr>
              <w:rPr>
                <w:vertAlign w:val="baseline"/>
              </w:rPr>
            </w:pPr>
          </w:p>
        </w:tc>
        <w:tc>
          <w:tcPr>
            <w:tcW w:w="1410" w:type="pct"/>
          </w:tcPr>
          <w:p w14:paraId="2F9B7E2F">
            <w:pPr>
              <w:pStyle w:val="2"/>
              <w:numPr>
                <w:ilvl w:val="0"/>
                <w:numId w:val="0"/>
              </w:numPr>
              <w:rPr>
                <w:vertAlign w:val="baseline"/>
              </w:rPr>
            </w:pPr>
          </w:p>
        </w:tc>
      </w:tr>
      <w:tr w14:paraId="4A250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pct"/>
            <w:vAlign w:val="top"/>
          </w:tcPr>
          <w:p w14:paraId="71F0FEF6">
            <w:pPr>
              <w:pStyle w:val="2"/>
              <w:numPr>
                <w:ilvl w:val="0"/>
                <w:numId w:val="0"/>
              </w:numPr>
              <w:ind w:left="0" w:leftChars="0" w:firstLine="0" w:firstLineChars="0"/>
              <w:rPr>
                <w:rFonts w:hint="default" w:ascii="Calibri" w:hAnsi="Calibri" w:eastAsia="宋体" w:cs="Times New Roman"/>
                <w:kern w:val="2"/>
                <w:sz w:val="21"/>
                <w:szCs w:val="22"/>
                <w:vertAlign w:val="baseline"/>
                <w:lang w:val="en-US" w:eastAsia="zh-CN" w:bidi="ar-SA"/>
              </w:rPr>
            </w:pPr>
          </w:p>
        </w:tc>
        <w:tc>
          <w:tcPr>
            <w:tcW w:w="1644" w:type="pct"/>
          </w:tcPr>
          <w:p w14:paraId="0846667A">
            <w:pPr>
              <w:pStyle w:val="2"/>
              <w:numPr>
                <w:ilvl w:val="0"/>
                <w:numId w:val="0"/>
              </w:numPr>
              <w:rPr>
                <w:vertAlign w:val="baseline"/>
              </w:rPr>
            </w:pPr>
          </w:p>
        </w:tc>
        <w:tc>
          <w:tcPr>
            <w:tcW w:w="1377" w:type="pct"/>
          </w:tcPr>
          <w:p w14:paraId="3DF61A3D">
            <w:pPr>
              <w:pStyle w:val="2"/>
              <w:numPr>
                <w:ilvl w:val="0"/>
                <w:numId w:val="0"/>
              </w:numPr>
              <w:rPr>
                <w:vertAlign w:val="baseline"/>
              </w:rPr>
            </w:pPr>
          </w:p>
        </w:tc>
        <w:tc>
          <w:tcPr>
            <w:tcW w:w="1410" w:type="pct"/>
          </w:tcPr>
          <w:p w14:paraId="7C77AA69">
            <w:pPr>
              <w:pStyle w:val="2"/>
              <w:numPr>
                <w:ilvl w:val="0"/>
                <w:numId w:val="0"/>
              </w:numPr>
              <w:rPr>
                <w:vertAlign w:val="baseline"/>
              </w:rPr>
            </w:pPr>
          </w:p>
        </w:tc>
      </w:tr>
    </w:tbl>
    <w:p w14:paraId="4F15631D">
      <w:pPr>
        <w:pStyle w:val="2"/>
        <w:numPr>
          <w:ilvl w:val="0"/>
          <w:numId w:val="0"/>
        </w:numPr>
      </w:pPr>
    </w:p>
    <w:p w14:paraId="55CB1433">
      <w:pPr>
        <w:rPr>
          <w:rFonts w:hint="default" w:ascii="宋体" w:hAnsi="宋体" w:eastAsia="宋体"/>
          <w:b/>
          <w:sz w:val="28"/>
          <w:szCs w:val="28"/>
          <w:lang w:val="en-US" w:eastAsia="zh-CN"/>
        </w:rPr>
      </w:pPr>
      <w:r>
        <w:rPr>
          <w:rFonts w:hint="eastAsia" w:ascii="宋体" w:hAnsi="宋体"/>
          <w:b/>
          <w:sz w:val="28"/>
          <w:szCs w:val="28"/>
        </w:rPr>
        <w:t>二、</w:t>
      </w:r>
      <w:r>
        <w:rPr>
          <w:rFonts w:hint="eastAsia" w:ascii="宋体" w:hAnsi="宋体"/>
          <w:b/>
          <w:sz w:val="28"/>
          <w:szCs w:val="28"/>
          <w:lang w:val="en-US" w:eastAsia="zh-CN"/>
        </w:rPr>
        <w:t>项目类型：</w:t>
      </w:r>
      <w:r>
        <w:rPr>
          <w:rFonts w:hint="eastAsia" w:ascii="仿宋" w:hAnsi="仿宋" w:eastAsia="仿宋" w:cs="仿宋"/>
          <w:b w:val="0"/>
          <w:bCs w:val="0"/>
          <w:color w:val="auto"/>
          <w:sz w:val="32"/>
          <w:szCs w:val="32"/>
          <w:highlight w:val="none"/>
          <w:lang w:val="en-US" w:eastAsia="zh-CN"/>
        </w:rPr>
        <w:t xml:space="preserve">服务类 </w:t>
      </w:r>
    </w:p>
    <w:p w14:paraId="7DF2077F">
      <w:pPr>
        <w:rPr>
          <w:rFonts w:hint="eastAsia" w:ascii="宋体" w:hAnsi="宋体"/>
          <w:b/>
          <w:sz w:val="28"/>
          <w:szCs w:val="28"/>
          <w:lang w:val="en-US" w:eastAsia="zh-CN"/>
        </w:rPr>
      </w:pPr>
      <w:r>
        <w:rPr>
          <w:rFonts w:hint="eastAsia" w:ascii="宋体" w:hAnsi="宋体"/>
          <w:b/>
          <w:sz w:val="28"/>
          <w:szCs w:val="28"/>
        </w:rPr>
        <w:t>三、</w:t>
      </w:r>
      <w:r>
        <w:rPr>
          <w:rFonts w:hint="eastAsia" w:ascii="宋体" w:hAnsi="宋体"/>
          <w:b/>
          <w:sz w:val="28"/>
          <w:szCs w:val="28"/>
          <w:lang w:val="en-US" w:eastAsia="zh-CN"/>
        </w:rPr>
        <w:t>拟用采购方式及评审方法：</w:t>
      </w:r>
      <w:r>
        <w:rPr>
          <w:rFonts w:hint="eastAsia" w:ascii="仿宋" w:hAnsi="仿宋" w:eastAsia="仿宋" w:cs="仿宋"/>
          <w:b w:val="0"/>
          <w:bCs w:val="0"/>
          <w:color w:val="auto"/>
          <w:sz w:val="32"/>
          <w:szCs w:val="32"/>
          <w:highlight w:val="none"/>
          <w:lang w:val="en-US" w:eastAsia="zh-CN"/>
        </w:rPr>
        <w:t>院内比选</w:t>
      </w:r>
    </w:p>
    <w:p w14:paraId="6C03259E">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1、具有独立承担民事责任的能力。</w:t>
      </w:r>
    </w:p>
    <w:p w14:paraId="6AF585CF">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2、具有良好的商业信誉</w:t>
      </w:r>
    </w:p>
    <w:p w14:paraId="5B839D42">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3、具有健全的财务会计制度。</w:t>
      </w:r>
    </w:p>
    <w:p w14:paraId="7DCC688A">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4、具有履行合同所必需的设备和专业技术能力。</w:t>
      </w:r>
    </w:p>
    <w:p w14:paraId="641C0B72">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5、有依法缴纳税收和社会保障资金的良好记录。</w:t>
      </w:r>
    </w:p>
    <w:p w14:paraId="4398560D">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6、参加政府采购活动前三年内，在经营活动中没有重大违法记录。</w:t>
      </w:r>
    </w:p>
    <w:p w14:paraId="0689E538">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7、不存在与单位负责人为同一人或者存在直接控股、管理关系的其他供应商参与同一合同项下的政府采购活动的行为。</w:t>
      </w:r>
    </w:p>
    <w:p w14:paraId="56357991">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8、不属于为本项目提供整体设计、规范编制或者项目管理、监理、检测等服务的供应商。</w:t>
      </w:r>
    </w:p>
    <w:p w14:paraId="2D6369CB">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9、其它特殊资格要求：</w:t>
      </w:r>
    </w:p>
    <w:p w14:paraId="6C8A1E28">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textAlignment w:val="auto"/>
        <w:rPr>
          <w:rFonts w:hint="eastAsia" w:ascii="仿宋_GB2312" w:hAnsi="仿宋_GB2312" w:eastAsia="仿宋_GB2312" w:cs="仿宋_GB2312"/>
          <w:b/>
          <w:bCs/>
          <w:color w:val="auto"/>
          <w:sz w:val="28"/>
          <w:szCs w:val="28"/>
          <w:highlight w:val="none"/>
          <w:lang w:val="en-US" w:eastAsia="zh-CN"/>
        </w:rPr>
      </w:pPr>
      <w:r>
        <w:rPr>
          <w:rFonts w:hint="eastAsia" w:ascii="宋体" w:hAnsi="宋体"/>
          <w:b/>
          <w:sz w:val="28"/>
          <w:szCs w:val="28"/>
          <w:lang w:val="en-US" w:eastAsia="zh-CN"/>
        </w:rPr>
        <w:t>四</w:t>
      </w:r>
      <w:r>
        <w:rPr>
          <w:rFonts w:hint="eastAsia" w:ascii="宋体" w:hAnsi="宋体"/>
          <w:b/>
          <w:sz w:val="28"/>
          <w:szCs w:val="28"/>
        </w:rPr>
        <w:t>、技术参数、要求</w:t>
      </w:r>
      <w:r>
        <w:rPr>
          <w:rFonts w:hint="eastAsia" w:ascii="宋体" w:hAnsi="宋体"/>
          <w:b/>
          <w:sz w:val="28"/>
          <w:szCs w:val="28"/>
          <w:lang w:eastAsia="zh-CN"/>
        </w:rPr>
        <w:t>：</w:t>
      </w:r>
    </w:p>
    <w:p w14:paraId="3887FF98">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1.项目名称：江油市人民医院未被污染的医疗外包装物回收、处置服务项目。</w:t>
      </w:r>
    </w:p>
    <w:p w14:paraId="32A637D9">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项目背景：根据《关于开展医疗机构废弃物专项整治工作的通知》（国卫办医函﹝2020﹞389号）、《四川省医疗机构废弃物专项整治方案》（川卫函〔2020〕155号）等文件要求对未被污染的医疗外包装物进行回收、处置。</w:t>
      </w:r>
    </w:p>
    <w:p w14:paraId="0A9A9F9E">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3.未被污染的医疗外包装物的定义：指在医疗卫生机构使用后未被患者血液、体液、排泄物污染的各种玻璃瓶、一次性塑料输液瓶（袋），血透室用透析桶、药品耗材的外包装纸盒、纸箱等。</w:t>
      </w:r>
    </w:p>
    <w:p w14:paraId="746C41A6">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★五、回收费用底价：</w:t>
      </w:r>
      <w:r>
        <w:rPr>
          <w:rFonts w:hint="eastAsia" w:ascii="仿宋" w:hAnsi="仿宋" w:eastAsia="仿宋" w:cs="仿宋"/>
          <w:b w:val="0"/>
          <w:bCs w:val="0"/>
          <w:color w:val="auto"/>
          <w:sz w:val="32"/>
          <w:szCs w:val="32"/>
          <w:highlight w:val="none"/>
          <w:lang w:val="en-US" w:eastAsia="zh-CN"/>
        </w:rPr>
        <w:t>2.3万元/年。</w:t>
      </w:r>
    </w:p>
    <w:p w14:paraId="5746CF27">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 xml:space="preserve">六、服务要求 </w:t>
      </w:r>
    </w:p>
    <w:p w14:paraId="5CBF6E10">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合作服务响应方应具备履约所需的回收、运输、处理等专业能力和科学制度体系，制定相应的管理制度,明确责任部门和专人对未被污染的医疗外包装物的分类收集、转运及暂存等环节进行全过程监管。具有保证废物安全利用和处理的规章制度,配备环保或卫生专业技术力量,以及事故应急预案,防范环境风险。</w:t>
      </w:r>
    </w:p>
    <w:p w14:paraId="24CD3C81">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2.合作服务响应方需遵守医院的规章制度，服从医院管理和监督。</w:t>
      </w:r>
    </w:p>
    <w:p w14:paraId="35D74456">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3.合作服务响应方严格按照国家法律规定，以及省、市卫健委、生态环境局的相关规定，做好医用未被污染的医疗外包装物回收处置工作，确保合法合规，高效安全。</w:t>
      </w:r>
    </w:p>
    <w:p w14:paraId="0CD2B236">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4.合作服务响应方在合作服务提出方处收集未被污染的医疗外包装物过程中,要严格检查,防止混入医疗废物;一旦发现未被污染的医疗外包装物被医疗废物污染或其他意外事件,应及时向合作服务提出方相应管理部门报告，并妥善处理。</w:t>
      </w:r>
    </w:p>
    <w:p w14:paraId="0431671C">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5.有合理的加工利用工艺和污染防治措施,以确保达标排放;合作服务响应方承诺（须提供承诺函）未被污染的医疗外包装物及其处理后的产物不得用于医药、食品、化妆品、玩具等可能危害人体健康的行业再使用；回收废物处理、再生利用溯源机制完整、合法合规。如有以上违法违规现象合作服务提出方人有权单方面解除合同，并扣除全部履约保证金。</w:t>
      </w:r>
    </w:p>
    <w:p w14:paraId="0CFC4386">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6.具有规范的台账记录。合作服务响应方与合作服务提出方签订回收处置协议并执行联单制度,使用的联单分类至少要登记转移品种（玻璃、塑料、纸制品等）、转移数量（重量、数量）、交接时间、交接人员、回收单位名称。回收处置交接联单应保存备查,保存时间不少于3年，须提供相关交接联单样表。</w:t>
      </w:r>
    </w:p>
    <w:p w14:paraId="2A0CA3C3">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7.合作服务响应方承诺（须提供承诺函）无条件服从合作服务提出方的工作安排，随叫随到，做到每日清理，日产日清，每日必须在五点之前清理完毕，特殊科室按科室要求随时清运。清运回收后，现场必须清洗干净，做好相关交接工作。如有科室投诉合作服务提出方有权扣除相应履约保证金（收到1次投诉从履约保证金中扣除500元）。</w:t>
      </w:r>
    </w:p>
    <w:p w14:paraId="2FC7CB63">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8.因抗生素等药品使用控制等多种风险因素均会影响本项目回收量，合作服务提出方不承担任何回收量波动变化有关的责任；合作服务响应方承诺（需提供承诺函）不得以回收量变化等任何原由单方面不履行合同。</w:t>
      </w:r>
    </w:p>
    <w:p w14:paraId="36ED3603">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9.合作服务响应方必须无条件配合合作服务提出方日常工作中可能出现的应急突发事件或上级部门检查时的配合工作，服从合作服务提出方安排，并不得要求任何补偿。</w:t>
      </w:r>
    </w:p>
    <w:p w14:paraId="49B80EFB">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10.合作服务响应方在医疗外包装物收集、运输、处置过程中确保回收物不丢失、不转售给不符合回收处理要求的单位（个人）;由于合作服务响应方原因而发生安全生产、环境污染事故或回收物品流入非法渠道，由合作服务响应方负责落实善后处理事宜，并承担相应责任，与合作服务提出方无关。</w:t>
      </w:r>
    </w:p>
    <w:p w14:paraId="69A71D1B">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11.在服务期内，如因合作服务响应方违反省市卫健部门和环保部门相关规定被取消资质，合作服务提出方有权立即终止合同。</w:t>
      </w:r>
    </w:p>
    <w:p w14:paraId="706F8043">
      <w:pPr>
        <w:keepNext w:val="0"/>
        <w:keepLines w:val="0"/>
        <w:pageBreakBefore w:val="0"/>
        <w:widowControl w:val="0"/>
        <w:kinsoku/>
        <w:wordWrap/>
        <w:overflowPunct/>
        <w:topLinePunct w:val="0"/>
        <w:autoSpaceDE/>
        <w:autoSpaceDN/>
        <w:bidi w:val="0"/>
        <w:adjustRightInd w:val="0"/>
        <w:snapToGrid w:val="0"/>
        <w:spacing w:line="324" w:lineRule="auto"/>
        <w:ind w:left="0" w:leftChars="0" w:firstLine="0" w:firstLineChars="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七、商务要求</w:t>
      </w:r>
    </w:p>
    <w:p w14:paraId="52B61B24">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★1.合作服务期限：合作服务期三年。</w:t>
      </w:r>
    </w:p>
    <w:p w14:paraId="37E18852">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★2.合作服务地点：江油市人民医院合作服务提出方指定区域。</w:t>
      </w:r>
    </w:p>
    <w:p w14:paraId="34F31230">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★3.回收</w:t>
      </w:r>
      <w:r>
        <w:rPr>
          <w:rFonts w:hint="eastAsia" w:ascii="仿宋" w:hAnsi="仿宋" w:eastAsia="仿宋" w:cs="仿宋"/>
          <w:b w:val="0"/>
          <w:bCs w:val="0"/>
          <w:color w:val="auto"/>
          <w:sz w:val="32"/>
          <w:szCs w:val="32"/>
          <w:highlight w:val="none"/>
        </w:rPr>
        <w:t>费用及</w:t>
      </w:r>
      <w:r>
        <w:rPr>
          <w:rFonts w:hint="eastAsia" w:ascii="仿宋" w:hAnsi="仿宋" w:eastAsia="仿宋" w:cs="仿宋"/>
          <w:b w:val="0"/>
          <w:bCs w:val="0"/>
          <w:color w:val="auto"/>
          <w:sz w:val="32"/>
          <w:szCs w:val="32"/>
          <w:highlight w:val="none"/>
          <w:lang w:val="en-US" w:eastAsia="zh-CN"/>
        </w:rPr>
        <w:t>付款</w:t>
      </w:r>
      <w:r>
        <w:rPr>
          <w:rFonts w:hint="eastAsia" w:ascii="仿宋" w:hAnsi="仿宋" w:eastAsia="仿宋" w:cs="仿宋"/>
          <w:b w:val="0"/>
          <w:bCs w:val="0"/>
          <w:color w:val="auto"/>
          <w:sz w:val="32"/>
          <w:szCs w:val="32"/>
          <w:highlight w:val="none"/>
        </w:rPr>
        <w:t>方式</w:t>
      </w:r>
      <w:r>
        <w:rPr>
          <w:rFonts w:hint="eastAsia" w:ascii="仿宋" w:hAnsi="仿宋" w:eastAsia="仿宋" w:cs="仿宋"/>
          <w:b w:val="0"/>
          <w:bCs w:val="0"/>
          <w:color w:val="auto"/>
          <w:sz w:val="32"/>
          <w:szCs w:val="32"/>
          <w:highlight w:val="none"/>
          <w:lang w:val="en-US" w:eastAsia="zh-CN"/>
        </w:rPr>
        <w:t>：</w:t>
      </w:r>
    </w:p>
    <w:p w14:paraId="66AE10C5">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3.1回收费金额：</w:t>
      </w:r>
      <w:r>
        <w:rPr>
          <w:rFonts w:hint="eastAsia" w:ascii="仿宋" w:hAnsi="仿宋" w:eastAsia="仿宋" w:cs="仿宋"/>
          <w:b w:val="0"/>
          <w:bCs w:val="0"/>
          <w:color w:val="auto"/>
          <w:sz w:val="32"/>
          <w:szCs w:val="32"/>
          <w:highlight w:val="none"/>
          <w:u w:val="single"/>
          <w:lang w:val="en-US" w:eastAsia="zh-CN"/>
        </w:rPr>
        <w:t>以成交价为准</w:t>
      </w:r>
      <w:r>
        <w:rPr>
          <w:rFonts w:hint="eastAsia" w:ascii="仿宋" w:hAnsi="仿宋" w:eastAsia="仿宋" w:cs="仿宋"/>
          <w:b w:val="0"/>
          <w:bCs w:val="0"/>
          <w:color w:val="auto"/>
          <w:sz w:val="32"/>
          <w:szCs w:val="32"/>
          <w:highlight w:val="none"/>
          <w:lang w:val="en-US" w:eastAsia="zh-CN"/>
        </w:rPr>
        <w:t>（医院内收集人员、运输车辆及打包整理所需要的耗材均由合作服务响应方负责提供，合作服务提出方不支付任何相关费用）。</w:t>
      </w:r>
    </w:p>
    <w:p w14:paraId="6FD81DE7">
      <w:pPr>
        <w:spacing w:line="360" w:lineRule="auto"/>
        <w:ind w:left="0" w:leftChars="0" w:firstLine="0" w:firstLineChars="0"/>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3.2.付款方式：在合同签订后一个月内，成交合作服务响应方向合作服务提出方一次性支付当年合同款，合同签订次年当月30日内一次性支付当年合同款。如有需要，合作服务提出方可以开具增值税普票提供给成交合作服务响应方。</w:t>
      </w:r>
      <w:bookmarkStart w:id="0" w:name="PO_默认文件内容_17"/>
    </w:p>
    <w:p w14:paraId="03FB68EC">
      <w:pPr>
        <w:spacing w:line="360" w:lineRule="auto"/>
        <w:ind w:left="0" w:leftChars="0" w:firstLine="0" w:firstLineChars="0"/>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3.3本项目收取履约保证金，金额为5000元（实质性要求）。具体要求如下：</w:t>
      </w:r>
    </w:p>
    <w:p w14:paraId="7403E557">
      <w:pPr>
        <w:spacing w:line="360" w:lineRule="auto"/>
        <w:ind w:left="0" w:leftChars="0" w:firstLine="0" w:firstLineChars="0"/>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成交合作服务响应方应在成交通知书发放后，服务合同签订前，向合作服务提出方交纳本项目的履约保证金。</w:t>
      </w:r>
    </w:p>
    <w:p w14:paraId="1D2C23D4">
      <w:pPr>
        <w:spacing w:line="360" w:lineRule="auto"/>
        <w:ind w:left="0" w:leftChars="0" w:firstLine="0" w:firstLineChars="0"/>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交款方式：履约保证金可以以支票、汇票、本票或者金融机构、担保机构出具的保函等非现金形式提交（包括网银转账，电汇等方式）。</w:t>
      </w:r>
    </w:p>
    <w:p w14:paraId="2DE28D1C">
      <w:pPr>
        <w:spacing w:line="360" w:lineRule="auto"/>
        <w:ind w:left="0" w:leftChars="0" w:firstLine="0" w:firstLineChars="0"/>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收款单位：</w:t>
      </w:r>
      <w:r>
        <w:rPr>
          <w:rFonts w:hint="eastAsia" w:ascii="仿宋" w:hAnsi="仿宋" w:eastAsia="仿宋" w:cs="仿宋"/>
          <w:b w:val="0"/>
          <w:bCs w:val="0"/>
          <w:color w:val="auto"/>
          <w:sz w:val="32"/>
          <w:szCs w:val="32"/>
          <w:highlight w:val="none"/>
          <w:lang w:val="zh-CN" w:eastAsia="zh-CN"/>
        </w:rPr>
        <w:t>待成交后合作服务提出方提供</w:t>
      </w:r>
      <w:r>
        <w:rPr>
          <w:rFonts w:hint="eastAsia" w:ascii="仿宋" w:hAnsi="仿宋" w:eastAsia="仿宋" w:cs="仿宋"/>
          <w:b w:val="0"/>
          <w:bCs w:val="0"/>
          <w:color w:val="auto"/>
          <w:sz w:val="32"/>
          <w:szCs w:val="32"/>
          <w:highlight w:val="none"/>
          <w:lang w:val="en-US" w:eastAsia="zh-CN"/>
        </w:rPr>
        <w:t>。</w:t>
      </w:r>
    </w:p>
    <w:p w14:paraId="05701B83">
      <w:pPr>
        <w:spacing w:line="360" w:lineRule="auto"/>
        <w:ind w:left="0" w:leftChars="0" w:firstLine="0" w:firstLineChars="0"/>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开户行：</w:t>
      </w:r>
      <w:r>
        <w:rPr>
          <w:rFonts w:hint="eastAsia" w:ascii="仿宋" w:hAnsi="仿宋" w:eastAsia="仿宋" w:cs="仿宋"/>
          <w:b w:val="0"/>
          <w:bCs w:val="0"/>
          <w:color w:val="auto"/>
          <w:sz w:val="32"/>
          <w:szCs w:val="32"/>
          <w:highlight w:val="none"/>
          <w:lang w:val="zh-CN" w:eastAsia="zh-CN"/>
        </w:rPr>
        <w:t>待成交后合作服务提出方提供</w:t>
      </w:r>
      <w:r>
        <w:rPr>
          <w:rFonts w:hint="eastAsia" w:ascii="仿宋" w:hAnsi="仿宋" w:eastAsia="仿宋" w:cs="仿宋"/>
          <w:b w:val="0"/>
          <w:bCs w:val="0"/>
          <w:color w:val="auto"/>
          <w:sz w:val="32"/>
          <w:szCs w:val="32"/>
          <w:highlight w:val="none"/>
          <w:lang w:val="en-US" w:eastAsia="zh-CN"/>
        </w:rPr>
        <w:t>。</w:t>
      </w:r>
    </w:p>
    <w:p w14:paraId="585F1E4B">
      <w:pPr>
        <w:spacing w:line="360" w:lineRule="auto"/>
        <w:ind w:left="0" w:leftChars="0" w:firstLine="0" w:firstLineChars="0"/>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银行账号：</w:t>
      </w:r>
      <w:r>
        <w:rPr>
          <w:rFonts w:hint="eastAsia" w:ascii="仿宋" w:hAnsi="仿宋" w:eastAsia="仿宋" w:cs="仿宋"/>
          <w:b w:val="0"/>
          <w:bCs w:val="0"/>
          <w:color w:val="auto"/>
          <w:sz w:val="32"/>
          <w:szCs w:val="32"/>
          <w:highlight w:val="none"/>
          <w:lang w:val="zh-CN" w:eastAsia="zh-CN"/>
        </w:rPr>
        <w:t>待成交后合作服务提出方提供</w:t>
      </w:r>
      <w:r>
        <w:rPr>
          <w:rFonts w:hint="eastAsia" w:ascii="仿宋" w:hAnsi="仿宋" w:eastAsia="仿宋" w:cs="仿宋"/>
          <w:b w:val="0"/>
          <w:bCs w:val="0"/>
          <w:color w:val="auto"/>
          <w:sz w:val="32"/>
          <w:szCs w:val="32"/>
          <w:highlight w:val="none"/>
          <w:lang w:val="en-US" w:eastAsia="zh-CN"/>
        </w:rPr>
        <w:t>。</w:t>
      </w:r>
    </w:p>
    <w:p w14:paraId="57681919">
      <w:pPr>
        <w:spacing w:line="360" w:lineRule="auto"/>
        <w:ind w:left="0" w:leftChars="0" w:firstLine="0" w:firstLineChars="0"/>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注：出具保函的主体应当是金融机构、保险机构、担保机构等依法成立且具有相关资质和偿付能力的机构，否则将取消成交合作服务响应方的成交资格，合作服务提出方将重新确定成交合作服务响应方，并依法追究法律责任。</w:t>
      </w:r>
    </w:p>
    <w:p w14:paraId="1E2929B7">
      <w:pPr>
        <w:spacing w:line="360" w:lineRule="auto"/>
        <w:ind w:left="0" w:leftChars="0" w:firstLine="0" w:firstLineChars="0"/>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履约保证金退还方式及时间：项目服务期满后无未解决问题，合作服务提出方退还成交人履约保证金。</w:t>
      </w:r>
    </w:p>
    <w:p w14:paraId="642852B8">
      <w:pPr>
        <w:spacing w:line="360" w:lineRule="auto"/>
        <w:ind w:left="0" w:leftChars="0" w:firstLine="0" w:firstLineChars="0"/>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履约保证金不予退还情形：</w:t>
      </w:r>
    </w:p>
    <w:p w14:paraId="7D2D5A18">
      <w:pPr>
        <w:spacing w:line="360" w:lineRule="auto"/>
        <w:ind w:left="0" w:leftChars="0" w:firstLine="0" w:firstLineChars="0"/>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（1）成交合作服务响应方拒绝履行合同的，履约保证金不予退还；</w:t>
      </w:r>
    </w:p>
    <w:p w14:paraId="3B9359D1">
      <w:pPr>
        <w:spacing w:line="360" w:lineRule="auto"/>
        <w:ind w:left="0" w:leftChars="0" w:firstLine="0" w:firstLineChars="0"/>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（2）合作服务提出方发现成交人未按照要求履行合同或技术协议，经合作服务提出方书面要求整改且拒不整改的。</w:t>
      </w:r>
      <w:bookmarkEnd w:id="0"/>
    </w:p>
    <w:p w14:paraId="26267A2B">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4、其他：未尽事宜，以合同约定为准。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65AD20"/>
    <w:multiLevelType w:val="singleLevel"/>
    <w:tmpl w:val="0B65AD2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4MDA0ZDQxYTM0YmUyZDRhMGI5OWQzZDdmYWZmMDEifQ=="/>
  </w:docVars>
  <w:rsids>
    <w:rsidRoot w:val="00AD5459"/>
    <w:rsid w:val="00003861"/>
    <w:rsid w:val="00022FA5"/>
    <w:rsid w:val="0006503F"/>
    <w:rsid w:val="000A73FA"/>
    <w:rsid w:val="001454A1"/>
    <w:rsid w:val="00181D77"/>
    <w:rsid w:val="001847DE"/>
    <w:rsid w:val="00184A07"/>
    <w:rsid w:val="00241C8E"/>
    <w:rsid w:val="00247988"/>
    <w:rsid w:val="00307B66"/>
    <w:rsid w:val="0036535E"/>
    <w:rsid w:val="00421135"/>
    <w:rsid w:val="00492CF5"/>
    <w:rsid w:val="004E6CF8"/>
    <w:rsid w:val="004E7954"/>
    <w:rsid w:val="0057430C"/>
    <w:rsid w:val="005E3FB7"/>
    <w:rsid w:val="006D4289"/>
    <w:rsid w:val="00715712"/>
    <w:rsid w:val="00747C58"/>
    <w:rsid w:val="007C7875"/>
    <w:rsid w:val="00827702"/>
    <w:rsid w:val="00837BF5"/>
    <w:rsid w:val="0084414E"/>
    <w:rsid w:val="00965CC5"/>
    <w:rsid w:val="00A55FA5"/>
    <w:rsid w:val="00AA6564"/>
    <w:rsid w:val="00AA74DC"/>
    <w:rsid w:val="00AB3951"/>
    <w:rsid w:val="00AB3CF7"/>
    <w:rsid w:val="00AC1BC0"/>
    <w:rsid w:val="00AD5459"/>
    <w:rsid w:val="00AE717C"/>
    <w:rsid w:val="00B25289"/>
    <w:rsid w:val="00B41FF1"/>
    <w:rsid w:val="00B431A9"/>
    <w:rsid w:val="00B9311C"/>
    <w:rsid w:val="00BE4C8C"/>
    <w:rsid w:val="00C1129F"/>
    <w:rsid w:val="00C3756F"/>
    <w:rsid w:val="00C96926"/>
    <w:rsid w:val="00CC24EC"/>
    <w:rsid w:val="00CE5C08"/>
    <w:rsid w:val="00CF375D"/>
    <w:rsid w:val="00CF70EA"/>
    <w:rsid w:val="00D53954"/>
    <w:rsid w:val="00DB4AA8"/>
    <w:rsid w:val="00E33DB9"/>
    <w:rsid w:val="00E47CD2"/>
    <w:rsid w:val="00EE34B4"/>
    <w:rsid w:val="00EF5FE8"/>
    <w:rsid w:val="00F338CD"/>
    <w:rsid w:val="00F43E4C"/>
    <w:rsid w:val="00FB0076"/>
    <w:rsid w:val="00FF16BE"/>
    <w:rsid w:val="04955FCE"/>
    <w:rsid w:val="06C8202F"/>
    <w:rsid w:val="09146527"/>
    <w:rsid w:val="11FF1C70"/>
    <w:rsid w:val="12023429"/>
    <w:rsid w:val="15592FD3"/>
    <w:rsid w:val="23C51DE7"/>
    <w:rsid w:val="2C7C5FD7"/>
    <w:rsid w:val="2E106A67"/>
    <w:rsid w:val="30763455"/>
    <w:rsid w:val="36692A9A"/>
    <w:rsid w:val="38143F27"/>
    <w:rsid w:val="45245A8A"/>
    <w:rsid w:val="483B2AFD"/>
    <w:rsid w:val="48EF5E00"/>
    <w:rsid w:val="4C1F29EB"/>
    <w:rsid w:val="4C566456"/>
    <w:rsid w:val="4E0016E3"/>
    <w:rsid w:val="4F93631E"/>
    <w:rsid w:val="500615EC"/>
    <w:rsid w:val="513B7CBE"/>
    <w:rsid w:val="51A146EB"/>
    <w:rsid w:val="56AE3862"/>
    <w:rsid w:val="5CC41775"/>
    <w:rsid w:val="62F7237B"/>
    <w:rsid w:val="64AB1728"/>
    <w:rsid w:val="68113AB9"/>
    <w:rsid w:val="7054535D"/>
    <w:rsid w:val="70D731B9"/>
    <w:rsid w:val="73D8638D"/>
    <w:rsid w:val="78221664"/>
    <w:rsid w:val="795E2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3">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Quote"/>
    <w:basedOn w:val="1"/>
    <w:next w:val="1"/>
    <w:qFormat/>
    <w:uiPriority w:val="0"/>
    <w:pPr>
      <w:wordWrap w:val="0"/>
      <w:spacing w:before="200" w:after="160"/>
      <w:ind w:left="864" w:right="864"/>
      <w:jc w:val="center"/>
    </w:pPr>
    <w:rPr>
      <w:rFonts w:ascii="Times New Roman" w:hAnsi="Times New Roman" w:eastAsia="宋体" w:cs="Times New Roman"/>
      <w:i/>
    </w:rPr>
  </w:style>
  <w:style w:type="character" w:customStyle="1" w:styleId="9">
    <w:name w:val="页眉 Char"/>
    <w:basedOn w:val="7"/>
    <w:link w:val="4"/>
    <w:autoRedefine/>
    <w:semiHidden/>
    <w:qFormat/>
    <w:uiPriority w:val="99"/>
    <w:rPr>
      <w:sz w:val="18"/>
      <w:szCs w:val="18"/>
    </w:rPr>
  </w:style>
  <w:style w:type="character" w:customStyle="1" w:styleId="10">
    <w:name w:val="页脚 Char"/>
    <w:basedOn w:val="7"/>
    <w:link w:val="3"/>
    <w:autoRedefine/>
    <w:semiHidden/>
    <w:qFormat/>
    <w:uiPriority w:val="99"/>
    <w:rPr>
      <w:sz w:val="18"/>
      <w:szCs w:val="18"/>
    </w:rPr>
  </w:style>
  <w:style w:type="paragraph" w:customStyle="1" w:styleId="1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2434</Words>
  <Characters>2480</Characters>
  <Lines>2</Lines>
  <Paragraphs>1</Paragraphs>
  <TotalTime>18</TotalTime>
  <ScaleCrop>false</ScaleCrop>
  <LinksUpToDate>false</LinksUpToDate>
  <CharactersWithSpaces>2482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2020-09-04T06:56:00Z</dcterms:created>
  <dc:creator>USER</dc:creator>
  <cp:lastModifiedBy>甯仁义</cp:lastModifiedBy>
  <cp:lastPrinted>2024-10-08T07:36:00Z</cp:lastPrinted>
  <dcterms:modified xsi:type="dcterms:W3CDTF">2024-10-16T00:41:26Z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0104CB14A974465EA9D89ACA084AE548_13</vt:lpwstr>
  </property>
</Properties>
</file>