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7C131">
      <w:pPr>
        <w:jc w:val="center"/>
        <w:rPr>
          <w:rFonts w:hint="eastAsia"/>
          <w:sz w:val="36"/>
          <w:szCs w:val="44"/>
        </w:rPr>
      </w:pPr>
    </w:p>
    <w:p w14:paraId="1FE2B3DE">
      <w:pPr>
        <w:jc w:val="center"/>
        <w:rPr>
          <w:rFonts w:hint="eastAsia"/>
          <w:sz w:val="36"/>
          <w:szCs w:val="44"/>
        </w:rPr>
      </w:pPr>
      <w:r>
        <w:rPr>
          <w:rFonts w:hint="eastAsia"/>
          <w:sz w:val="36"/>
          <w:szCs w:val="44"/>
        </w:rPr>
        <w:t>江油市人民医院</w:t>
      </w:r>
    </w:p>
    <w:p w14:paraId="125896F0">
      <w:pPr>
        <w:jc w:val="center"/>
        <w:rPr>
          <w:rFonts w:hint="default"/>
          <w:sz w:val="36"/>
          <w:szCs w:val="44"/>
          <w:lang w:val="en-US"/>
        </w:rPr>
      </w:pPr>
      <w:r>
        <w:rPr>
          <w:rFonts w:hint="eastAsia"/>
          <w:sz w:val="36"/>
          <w:szCs w:val="44"/>
        </w:rPr>
        <w:t>自助</w:t>
      </w:r>
      <w:r>
        <w:rPr>
          <w:rFonts w:hint="eastAsia"/>
          <w:sz w:val="36"/>
          <w:szCs w:val="44"/>
          <w:lang w:val="en-US" w:eastAsia="zh-CN"/>
        </w:rPr>
        <w:t>饮料售货机</w:t>
      </w:r>
      <w:r>
        <w:rPr>
          <w:rFonts w:hint="eastAsia"/>
          <w:sz w:val="36"/>
          <w:szCs w:val="44"/>
        </w:rPr>
        <w:t>项目</w:t>
      </w:r>
      <w:r>
        <w:rPr>
          <w:rFonts w:hint="eastAsia"/>
          <w:sz w:val="36"/>
          <w:szCs w:val="44"/>
          <w:lang w:val="en-US" w:eastAsia="zh-CN"/>
        </w:rPr>
        <w:t>场地招租要求</w:t>
      </w:r>
    </w:p>
    <w:p w14:paraId="4BC76482">
      <w:pPr>
        <w:jc w:val="both"/>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 xml:space="preserve">      </w:t>
      </w:r>
    </w:p>
    <w:p w14:paraId="0152BCFE">
      <w:pPr>
        <w:ind w:firstLine="540" w:firstLineChars="200"/>
        <w:jc w:val="both"/>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为落实惠民服务措施，提高我院就诊</w:t>
      </w:r>
      <w:r>
        <w:rPr>
          <w:rFonts w:hint="default" w:ascii="宋体" w:hAnsi="宋体" w:eastAsia="宋体" w:cs="宋体"/>
          <w:sz w:val="27"/>
          <w:szCs w:val="27"/>
          <w:lang w:val="en-US" w:eastAsia="zh-CN"/>
        </w:rPr>
        <w:t>/</w:t>
      </w:r>
      <w:r>
        <w:rPr>
          <w:rFonts w:hint="eastAsia" w:ascii="宋体" w:hAnsi="宋体" w:eastAsia="宋体" w:cs="宋体"/>
          <w:sz w:val="27"/>
          <w:szCs w:val="27"/>
          <w:lang w:val="en-US" w:eastAsia="zh-CN"/>
        </w:rPr>
        <w:t>住院患者及其家属的满意率，我院就自助饮料售货机的场地进行公开招租，欢迎有意向参与投标的供应商、厂家递送相关资料及报价。</w:t>
      </w:r>
    </w:p>
    <w:p w14:paraId="1020ABDF">
      <w:pPr>
        <w:numPr>
          <w:ilvl w:val="0"/>
          <w:numId w:val="0"/>
        </w:numPr>
        <w:ind w:left="0" w:leftChars="0" w:firstLine="0" w:firstLineChars="0"/>
        <w:jc w:val="both"/>
        <w:rPr>
          <w:rFonts w:hint="eastAsia" w:ascii="宋体" w:hAnsi="宋体" w:eastAsia="宋体" w:cs="宋体"/>
          <w:b/>
          <w:bCs/>
          <w:kern w:val="2"/>
          <w:sz w:val="27"/>
          <w:szCs w:val="27"/>
          <w:lang w:val="en-US" w:eastAsia="zh-CN" w:bidi="ar-SA"/>
        </w:rPr>
      </w:pPr>
      <w:r>
        <w:rPr>
          <w:rFonts w:hint="eastAsia" w:ascii="宋体" w:hAnsi="宋体" w:eastAsia="宋体" w:cs="宋体"/>
          <w:b/>
          <w:bCs/>
          <w:kern w:val="2"/>
          <w:sz w:val="27"/>
          <w:szCs w:val="27"/>
          <w:lang w:val="en-US" w:eastAsia="zh-CN" w:bidi="ar-SA"/>
        </w:rPr>
        <w:t>一、采购项目内容及需求</w:t>
      </w:r>
    </w:p>
    <w:p w14:paraId="5DD70F76">
      <w:pPr>
        <w:numPr>
          <w:ilvl w:val="0"/>
          <w:numId w:val="0"/>
        </w:numPr>
        <w:jc w:val="both"/>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（1）采购项目内容</w:t>
      </w:r>
    </w:p>
    <w:tbl>
      <w:tblPr>
        <w:tblStyle w:val="8"/>
        <w:tblW w:w="830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8"/>
        <w:gridCol w:w="1678"/>
        <w:gridCol w:w="1771"/>
        <w:gridCol w:w="2040"/>
        <w:gridCol w:w="1950"/>
      </w:tblGrid>
      <w:tr w14:paraId="4185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trPr>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51E023BC">
            <w:pPr>
              <w:pStyle w:val="12"/>
              <w:keepNext w:val="0"/>
              <w:keepLines w:val="0"/>
              <w:pageBreakBefore w:val="0"/>
              <w:numPr>
                <w:ilvl w:val="0"/>
                <w:numId w:val="0"/>
              </w:numPr>
              <w:kinsoku/>
              <w:wordWrap/>
              <w:overflowPunct/>
              <w:topLinePunct w:val="0"/>
              <w:bidi w:val="0"/>
              <w:snapToGrid w:val="0"/>
              <w:spacing w:line="240" w:lineRule="atLeast"/>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序号</w:t>
            </w:r>
          </w:p>
        </w:tc>
        <w:tc>
          <w:tcPr>
            <w:tcW w:w="1678" w:type="dxa"/>
            <w:tcBorders>
              <w:top w:val="single" w:color="auto" w:sz="4" w:space="0"/>
              <w:left w:val="nil"/>
              <w:bottom w:val="single" w:color="auto" w:sz="4" w:space="0"/>
              <w:right w:val="single" w:color="auto" w:sz="4" w:space="0"/>
            </w:tcBorders>
            <w:shd w:val="clear" w:color="auto" w:fill="auto"/>
            <w:vAlign w:val="center"/>
          </w:tcPr>
          <w:p w14:paraId="2AB8B09A">
            <w:pPr>
              <w:pStyle w:val="12"/>
              <w:keepNext w:val="0"/>
              <w:keepLines w:val="0"/>
              <w:pageBreakBefore w:val="0"/>
              <w:numPr>
                <w:ilvl w:val="0"/>
                <w:numId w:val="0"/>
              </w:numPr>
              <w:kinsoku/>
              <w:wordWrap/>
              <w:overflowPunct/>
              <w:topLinePunct w:val="0"/>
              <w:bidi w:val="0"/>
              <w:snapToGrid w:val="0"/>
              <w:spacing w:line="240" w:lineRule="atLeast"/>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项目名称</w:t>
            </w:r>
          </w:p>
        </w:tc>
        <w:tc>
          <w:tcPr>
            <w:tcW w:w="1771" w:type="dxa"/>
            <w:tcBorders>
              <w:top w:val="single" w:color="auto" w:sz="4" w:space="0"/>
              <w:left w:val="nil"/>
              <w:bottom w:val="single" w:color="auto" w:sz="4" w:space="0"/>
              <w:right w:val="single" w:color="auto" w:sz="4" w:space="0"/>
            </w:tcBorders>
            <w:shd w:val="clear" w:color="auto" w:fill="auto"/>
            <w:vAlign w:val="center"/>
          </w:tcPr>
          <w:p w14:paraId="1A60F110">
            <w:pPr>
              <w:pStyle w:val="12"/>
              <w:keepNext w:val="0"/>
              <w:keepLines w:val="0"/>
              <w:pageBreakBefore w:val="0"/>
              <w:numPr>
                <w:ilvl w:val="0"/>
                <w:numId w:val="0"/>
              </w:numPr>
              <w:kinsoku/>
              <w:wordWrap/>
              <w:overflowPunct/>
              <w:topLinePunct w:val="0"/>
              <w:bidi w:val="0"/>
              <w:snapToGrid w:val="0"/>
              <w:spacing w:line="240" w:lineRule="atLeast"/>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设备数量（台）</w:t>
            </w:r>
          </w:p>
        </w:tc>
        <w:tc>
          <w:tcPr>
            <w:tcW w:w="2040" w:type="dxa"/>
            <w:tcBorders>
              <w:top w:val="single" w:color="auto" w:sz="4" w:space="0"/>
              <w:left w:val="nil"/>
              <w:bottom w:val="single" w:color="auto" w:sz="4" w:space="0"/>
              <w:right w:val="single" w:color="auto" w:sz="4" w:space="0"/>
            </w:tcBorders>
            <w:shd w:val="clear" w:color="auto" w:fill="auto"/>
            <w:vAlign w:val="center"/>
          </w:tcPr>
          <w:p w14:paraId="08092E09">
            <w:pPr>
              <w:pStyle w:val="12"/>
              <w:keepNext w:val="0"/>
              <w:keepLines w:val="0"/>
              <w:pageBreakBefore w:val="0"/>
              <w:numPr>
                <w:ilvl w:val="0"/>
                <w:numId w:val="0"/>
              </w:numPr>
              <w:kinsoku/>
              <w:wordWrap/>
              <w:overflowPunct/>
              <w:topLinePunct w:val="0"/>
              <w:bidi w:val="0"/>
              <w:snapToGrid w:val="0"/>
              <w:spacing w:line="240" w:lineRule="atLeast"/>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交付时间</w:t>
            </w:r>
          </w:p>
        </w:tc>
        <w:tc>
          <w:tcPr>
            <w:tcW w:w="1950" w:type="dxa"/>
            <w:tcBorders>
              <w:top w:val="single" w:color="auto" w:sz="4" w:space="0"/>
              <w:left w:val="nil"/>
              <w:bottom w:val="single" w:color="auto" w:sz="4" w:space="0"/>
              <w:right w:val="single" w:color="auto" w:sz="4" w:space="0"/>
            </w:tcBorders>
            <w:shd w:val="clear" w:color="auto" w:fill="auto"/>
            <w:vAlign w:val="center"/>
          </w:tcPr>
          <w:p w14:paraId="422B57D2">
            <w:pPr>
              <w:pStyle w:val="12"/>
              <w:keepNext w:val="0"/>
              <w:keepLines w:val="0"/>
              <w:pageBreakBefore w:val="0"/>
              <w:numPr>
                <w:ilvl w:val="0"/>
                <w:numId w:val="0"/>
              </w:numPr>
              <w:kinsoku/>
              <w:wordWrap/>
              <w:overflowPunct/>
              <w:topLinePunct w:val="0"/>
              <w:bidi w:val="0"/>
              <w:snapToGrid w:val="0"/>
              <w:spacing w:line="240" w:lineRule="atLeast"/>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交付地点</w:t>
            </w:r>
          </w:p>
        </w:tc>
      </w:tr>
      <w:tr w14:paraId="40AE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9" w:hRule="atLeast"/>
        </w:trPr>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29114687">
            <w:pPr>
              <w:pStyle w:val="12"/>
              <w:keepNext w:val="0"/>
              <w:keepLines w:val="0"/>
              <w:pageBreakBefore w:val="0"/>
              <w:numPr>
                <w:ilvl w:val="0"/>
                <w:numId w:val="0"/>
              </w:numPr>
              <w:kinsoku/>
              <w:wordWrap/>
              <w:overflowPunct/>
              <w:topLinePunct w:val="0"/>
              <w:bidi w:val="0"/>
              <w:snapToGrid w:val="0"/>
              <w:spacing w:line="240" w:lineRule="atLeast"/>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678" w:type="dxa"/>
            <w:tcBorders>
              <w:top w:val="single" w:color="auto" w:sz="4" w:space="0"/>
              <w:left w:val="nil"/>
              <w:bottom w:val="single" w:color="auto" w:sz="4" w:space="0"/>
              <w:right w:val="single" w:color="auto" w:sz="4" w:space="0"/>
            </w:tcBorders>
            <w:shd w:val="clear" w:color="auto" w:fill="auto"/>
            <w:vAlign w:val="center"/>
          </w:tcPr>
          <w:p w14:paraId="583DE832">
            <w:pPr>
              <w:pStyle w:val="12"/>
              <w:keepNext w:val="0"/>
              <w:keepLines w:val="0"/>
              <w:pageBreakBefore w:val="0"/>
              <w:numPr>
                <w:ilvl w:val="0"/>
                <w:numId w:val="0"/>
              </w:numPr>
              <w:kinsoku/>
              <w:wordWrap/>
              <w:overflowPunct/>
              <w:topLinePunct w:val="0"/>
              <w:bidi w:val="0"/>
              <w:snapToGrid w:val="0"/>
              <w:spacing w:line="240" w:lineRule="atLeast"/>
              <w:ind w:firstLine="0" w:firstLineChars="0"/>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自助饮料售货机场地招租</w:t>
            </w:r>
          </w:p>
        </w:tc>
        <w:tc>
          <w:tcPr>
            <w:tcW w:w="1771" w:type="dxa"/>
            <w:tcBorders>
              <w:top w:val="single" w:color="auto" w:sz="4" w:space="0"/>
              <w:left w:val="nil"/>
              <w:bottom w:val="single" w:color="auto" w:sz="4" w:space="0"/>
              <w:right w:val="single" w:color="auto" w:sz="4" w:space="0"/>
            </w:tcBorders>
            <w:shd w:val="clear" w:color="auto" w:fill="auto"/>
            <w:vAlign w:val="center"/>
          </w:tcPr>
          <w:p w14:paraId="627AB031">
            <w:pPr>
              <w:pStyle w:val="12"/>
              <w:keepNext w:val="0"/>
              <w:keepLines w:val="0"/>
              <w:pageBreakBefore w:val="0"/>
              <w:numPr>
                <w:ilvl w:val="0"/>
                <w:numId w:val="0"/>
              </w:numPr>
              <w:kinsoku/>
              <w:wordWrap/>
              <w:overflowPunct/>
              <w:topLinePunct w:val="0"/>
              <w:bidi w:val="0"/>
              <w:snapToGrid w:val="0"/>
              <w:spacing w:line="240" w:lineRule="atLeast"/>
              <w:ind w:firstLine="0" w:firstLineChars="0"/>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数量及安装位置按医院要求确定（不低于3台）。</w:t>
            </w:r>
          </w:p>
        </w:tc>
        <w:tc>
          <w:tcPr>
            <w:tcW w:w="2040" w:type="dxa"/>
            <w:tcBorders>
              <w:top w:val="single" w:color="auto" w:sz="4" w:space="0"/>
              <w:left w:val="nil"/>
              <w:bottom w:val="single" w:color="auto" w:sz="4" w:space="0"/>
              <w:right w:val="single" w:color="auto" w:sz="4" w:space="0"/>
            </w:tcBorders>
            <w:shd w:val="clear" w:color="auto" w:fill="auto"/>
            <w:vAlign w:val="center"/>
          </w:tcPr>
          <w:p w14:paraId="71BC5CD0">
            <w:pPr>
              <w:pStyle w:val="12"/>
              <w:keepNext w:val="0"/>
              <w:keepLines w:val="0"/>
              <w:pageBreakBefore w:val="0"/>
              <w:numPr>
                <w:ilvl w:val="0"/>
                <w:numId w:val="0"/>
              </w:numPr>
              <w:kinsoku/>
              <w:wordWrap/>
              <w:overflowPunct/>
              <w:topLinePunct w:val="0"/>
              <w:bidi w:val="0"/>
              <w:snapToGrid w:val="0"/>
              <w:spacing w:line="240" w:lineRule="atLeast"/>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自签订合同之日起30日内设备）安装调试完毕，验收合格投入使用。</w:t>
            </w:r>
          </w:p>
        </w:tc>
        <w:tc>
          <w:tcPr>
            <w:tcW w:w="1950" w:type="dxa"/>
            <w:tcBorders>
              <w:top w:val="single" w:color="auto" w:sz="4" w:space="0"/>
              <w:left w:val="nil"/>
              <w:bottom w:val="single" w:color="auto" w:sz="4" w:space="0"/>
              <w:right w:val="single" w:color="auto" w:sz="4" w:space="0"/>
            </w:tcBorders>
            <w:shd w:val="clear" w:color="auto" w:fill="auto"/>
            <w:vAlign w:val="center"/>
          </w:tcPr>
          <w:p w14:paraId="628A9D17">
            <w:pPr>
              <w:pStyle w:val="12"/>
              <w:keepNext w:val="0"/>
              <w:keepLines w:val="0"/>
              <w:pageBreakBefore w:val="0"/>
              <w:numPr>
                <w:ilvl w:val="0"/>
                <w:numId w:val="0"/>
              </w:numPr>
              <w:kinsoku/>
              <w:wordWrap/>
              <w:overflowPunct/>
              <w:topLinePunct w:val="0"/>
              <w:bidi w:val="0"/>
              <w:snapToGrid w:val="0"/>
              <w:spacing w:line="240" w:lineRule="atLeast"/>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江油市人民医院内指定地点。（每台自助饮料售货机约占用面积2平方米）</w:t>
            </w:r>
          </w:p>
        </w:tc>
      </w:tr>
    </w:tbl>
    <w:p w14:paraId="26022650">
      <w:pPr>
        <w:numPr>
          <w:ilvl w:val="0"/>
          <w:numId w:val="0"/>
        </w:numPr>
        <w:jc w:val="both"/>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（2）租赁期：承租之日起三年（合同一年一签）。</w:t>
      </w:r>
    </w:p>
    <w:p w14:paraId="5B7533F9">
      <w:pPr>
        <w:numPr>
          <w:ilvl w:val="0"/>
          <w:numId w:val="0"/>
        </w:numPr>
        <w:ind w:left="0" w:leftChars="0" w:firstLine="0" w:firstLineChars="0"/>
        <w:jc w:val="both"/>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（3）报价要求：</w:t>
      </w:r>
    </w:p>
    <w:p w14:paraId="606D25F7">
      <w:pPr>
        <w:numPr>
          <w:ilvl w:val="0"/>
          <w:numId w:val="0"/>
        </w:numPr>
        <w:ind w:left="0" w:leftChars="0" w:firstLine="0" w:firstLineChars="0"/>
        <w:jc w:val="both"/>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1、对自助饮料售货机项目场地租赁费用进行报价，报价不包含电费，电费按照实际用量结算，院方提供场地、电源，电表安装由中标方负责。签订合同之日前每年支付当年租赁年度整年租金。</w:t>
      </w:r>
    </w:p>
    <w:p w14:paraId="21F8B0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both"/>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2、</w:t>
      </w:r>
      <w:r>
        <w:rPr>
          <w:rFonts w:hint="eastAsia" w:ascii="宋体" w:hAnsi="宋体" w:eastAsia="宋体" w:cs="宋体"/>
          <w:kern w:val="2"/>
          <w:sz w:val="27"/>
          <w:szCs w:val="27"/>
          <w:lang w:val="en-US" w:eastAsia="zh-CN" w:bidi="ar-SA"/>
        </w:rPr>
        <w:t>请投标人自行现场勘查（急诊科、门诊2楼、门诊5楼）。投标方报价低于最低限价的，作无效参选文件处理。</w:t>
      </w:r>
    </w:p>
    <w:p w14:paraId="7EDBD781">
      <w:pPr>
        <w:numPr>
          <w:ilvl w:val="0"/>
          <w:numId w:val="0"/>
        </w:numPr>
        <w:jc w:val="both"/>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（4）评分标准：</w:t>
      </w:r>
    </w:p>
    <w:tbl>
      <w:tblPr>
        <w:tblStyle w:val="8"/>
        <w:tblW w:w="47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471"/>
        <w:gridCol w:w="5143"/>
        <w:gridCol w:w="1179"/>
      </w:tblGrid>
      <w:tr w14:paraId="5E33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5F26BB2">
            <w:pPr>
              <w:pStyle w:val="12"/>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评分因素</w:t>
            </w:r>
          </w:p>
        </w:tc>
        <w:tc>
          <w:tcPr>
            <w:tcW w:w="291"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8E6A541">
            <w:pPr>
              <w:pStyle w:val="12"/>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分值</w:t>
            </w:r>
          </w:p>
        </w:tc>
        <w:tc>
          <w:tcPr>
            <w:tcW w:w="3177"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EFF3115">
            <w:pPr>
              <w:pStyle w:val="12"/>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评分标准</w:t>
            </w:r>
          </w:p>
        </w:tc>
        <w:tc>
          <w:tcPr>
            <w:tcW w:w="728"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068269A">
            <w:pPr>
              <w:pStyle w:val="12"/>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评审分类</w:t>
            </w:r>
          </w:p>
        </w:tc>
      </w:tr>
      <w:tr w14:paraId="5B58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02"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1C9C366">
            <w:pPr>
              <w:pStyle w:val="12"/>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价格</w:t>
            </w:r>
          </w:p>
        </w:tc>
        <w:tc>
          <w:tcPr>
            <w:tcW w:w="291"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CFF3746">
            <w:pPr>
              <w:pStyle w:val="12"/>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3177"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48AAB6D">
            <w:pPr>
              <w:pStyle w:val="12"/>
              <w:keepNext w:val="0"/>
              <w:keepLines w:val="0"/>
              <w:pageBreakBefore w:val="0"/>
              <w:numPr>
                <w:ilvl w:val="0"/>
                <w:numId w:val="0"/>
              </w:numPr>
              <w:kinsoku/>
              <w:wordWrap/>
              <w:overflowPunct/>
              <w:topLinePunct w:val="0"/>
              <w:bidi w:val="0"/>
              <w:snapToGrid w:val="0"/>
              <w:spacing w:line="240" w:lineRule="atLeast"/>
              <w:ind w:firstLine="0" w:firstLineChars="0"/>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以投标人最高价为基准价，报价得分=报价/基准价*30。最低限价：每台每点位每年</w:t>
            </w:r>
            <w:r>
              <w:rPr>
                <w:rFonts w:hint="eastAsia" w:ascii="仿宋" w:hAnsi="仿宋" w:eastAsia="仿宋" w:cs="仿宋"/>
                <w:color w:val="auto"/>
                <w:sz w:val="21"/>
                <w:szCs w:val="21"/>
                <w:highlight w:val="none"/>
                <w:lang w:val="en-US" w:eastAsia="zh-CN"/>
              </w:rPr>
              <w:t>不低于6000元。</w:t>
            </w:r>
          </w:p>
        </w:tc>
        <w:tc>
          <w:tcPr>
            <w:tcW w:w="728"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1662EA8">
            <w:pPr>
              <w:pStyle w:val="12"/>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客观分</w:t>
            </w:r>
          </w:p>
        </w:tc>
      </w:tr>
      <w:tr w14:paraId="4124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B040087">
            <w:pPr>
              <w:pStyle w:val="12"/>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项目实施方案</w:t>
            </w:r>
          </w:p>
        </w:tc>
        <w:tc>
          <w:tcPr>
            <w:tcW w:w="291"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3189D72">
            <w:pPr>
              <w:pStyle w:val="12"/>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3177"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C56C2B7">
            <w:pPr>
              <w:pStyle w:val="12"/>
              <w:keepNext w:val="0"/>
              <w:keepLines w:val="0"/>
              <w:pageBreakBefore w:val="0"/>
              <w:numPr>
                <w:ilvl w:val="0"/>
                <w:numId w:val="0"/>
              </w:numPr>
              <w:kinsoku/>
              <w:wordWrap/>
              <w:overflowPunct/>
              <w:topLinePunct w:val="0"/>
              <w:bidi w:val="0"/>
              <w:snapToGrid w:val="0"/>
              <w:spacing w:line="240" w:lineRule="atLeast"/>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根据供应商针对本项目提供的项目实施方案。至少包含：</w:t>
            </w:r>
            <w:r>
              <w:rPr>
                <w:rFonts w:hint="eastAsia" w:ascii="仿宋" w:hAnsi="仿宋" w:eastAsia="仿宋" w:cs="仿宋"/>
                <w:sz w:val="21"/>
                <w:szCs w:val="21"/>
                <w:highlight w:val="none"/>
                <w:lang w:val="en-US" w:eastAsia="zh-CN"/>
              </w:rPr>
              <w:t>对本项的目的、背景、需求解读；相关法律法规政策解读与执行；投诉处理流程；项目实施方案；应急预案处置描述</w:t>
            </w:r>
            <w:r>
              <w:rPr>
                <w:rFonts w:hint="eastAsia" w:ascii="仿宋" w:hAnsi="仿宋" w:eastAsia="仿宋" w:cs="仿宋"/>
                <w:sz w:val="21"/>
                <w:szCs w:val="21"/>
                <w:lang w:val="en-US" w:eastAsia="zh-CN"/>
              </w:rPr>
              <w:t>等内容。各部分与本项目相关要求紧密结合，有利于促进本项目顺利开展实施的得25分，在此基础上每有一项内容不完善或不规范或存在瑕疵的，扣</w:t>
            </w:r>
            <w:r>
              <w:rPr>
                <w:rFonts w:hint="default" w:ascii="仿宋" w:hAnsi="仿宋" w:eastAsia="仿宋" w:cs="仿宋"/>
                <w:sz w:val="21"/>
                <w:szCs w:val="21"/>
                <w:lang w:val="en-US" w:eastAsia="zh-CN"/>
              </w:rPr>
              <w:t>5</w:t>
            </w:r>
            <w:r>
              <w:rPr>
                <w:rFonts w:hint="eastAsia" w:ascii="仿宋" w:hAnsi="仿宋" w:eastAsia="仿宋" w:cs="仿宋"/>
                <w:sz w:val="21"/>
                <w:szCs w:val="21"/>
                <w:lang w:val="en-US" w:eastAsia="zh-CN"/>
              </w:rPr>
              <w:t>分；每缺少一项内容或提供与本项目完全无关或存在逻辑性错误的项目实施方案扣</w:t>
            </w:r>
            <w:r>
              <w:rPr>
                <w:rFonts w:hint="default" w:ascii="仿宋" w:hAnsi="仿宋" w:eastAsia="仿宋" w:cs="仿宋"/>
                <w:sz w:val="21"/>
                <w:szCs w:val="21"/>
                <w:lang w:val="en-US" w:eastAsia="zh-CN"/>
              </w:rPr>
              <w:t>10</w:t>
            </w:r>
            <w:r>
              <w:rPr>
                <w:rFonts w:hint="eastAsia" w:ascii="仿宋" w:hAnsi="仿宋" w:eastAsia="仿宋" w:cs="仿宋"/>
                <w:sz w:val="21"/>
                <w:szCs w:val="21"/>
                <w:lang w:val="en-US" w:eastAsia="zh-CN"/>
              </w:rPr>
              <w:t>分，扣完为止。</w:t>
            </w:r>
          </w:p>
        </w:tc>
        <w:tc>
          <w:tcPr>
            <w:tcW w:w="728"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6443AA6">
            <w:pPr>
              <w:pStyle w:val="12"/>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eastAsia" w:ascii="仿宋" w:hAnsi="仿宋" w:eastAsia="仿宋" w:cs="仿宋"/>
                <w:sz w:val="21"/>
                <w:szCs w:val="21"/>
                <w:lang w:val="en-US" w:eastAsia="zh-CN"/>
              </w:rPr>
            </w:pPr>
          </w:p>
          <w:p w14:paraId="06D76947">
            <w:pPr>
              <w:pStyle w:val="12"/>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主观分</w:t>
            </w:r>
          </w:p>
        </w:tc>
      </w:tr>
      <w:tr w14:paraId="2B53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02"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CD92798">
            <w:pPr>
              <w:pStyle w:val="12"/>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售后服务</w:t>
            </w:r>
          </w:p>
        </w:tc>
        <w:tc>
          <w:tcPr>
            <w:tcW w:w="291"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9C83F6F">
            <w:pPr>
              <w:pStyle w:val="12"/>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3177"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A77CBA2">
            <w:pPr>
              <w:pStyle w:val="12"/>
              <w:keepNext w:val="0"/>
              <w:keepLines w:val="0"/>
              <w:pageBreakBefore w:val="0"/>
              <w:numPr>
                <w:ilvl w:val="0"/>
                <w:numId w:val="0"/>
              </w:numPr>
              <w:kinsoku/>
              <w:wordWrap/>
              <w:overflowPunct/>
              <w:topLinePunct w:val="0"/>
              <w:bidi w:val="0"/>
              <w:snapToGrid w:val="0"/>
              <w:spacing w:line="240" w:lineRule="atLeast"/>
              <w:ind w:firstLine="0" w:firstLineChars="0"/>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根据供应商提供的售后服务方案，售后方案符合招标方实际情况，切实可行；方案内容包括但不限于①售后服务人员组成②设备维修、保养、清洁等具体措施③维修及应急处置响应时间④产品安全保障（是否投保）</w:t>
            </w:r>
            <w:r>
              <w:rPr>
                <w:rFonts w:hint="default" w:ascii="仿宋" w:hAnsi="仿宋" w:eastAsia="仿宋" w:cs="仿宋"/>
                <w:sz w:val="21"/>
                <w:szCs w:val="21"/>
                <w:lang w:val="en-US" w:eastAsia="zh-CN"/>
              </w:rPr>
              <w:t>⑤</w:t>
            </w:r>
            <w:r>
              <w:rPr>
                <w:rFonts w:hint="eastAsia" w:ascii="仿宋" w:hAnsi="仿宋" w:eastAsia="仿宋" w:cs="仿宋"/>
                <w:sz w:val="21"/>
                <w:szCs w:val="21"/>
                <w:lang w:val="en-US" w:eastAsia="zh-CN"/>
              </w:rPr>
              <w:t>设备消毒、定期安全检查等相关措施，进行详细的阐述，内容详尽、合理得25分；缺1项扣5分，每1项有缺陷扣3分，扣完为止。说明：“缺陷”指：方案内容与实际情况不匹配、不符合项目特点、不符合服务要求、内容简略、内容与本项目无关、前后逻辑相悖、相同内容表述不一致、地点区域错误、方案与标题内容不一致、 技术规范（如有）要求引用不一 致等任意一种情形。</w:t>
            </w:r>
          </w:p>
        </w:tc>
        <w:tc>
          <w:tcPr>
            <w:tcW w:w="728"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FE1D313">
            <w:pPr>
              <w:pStyle w:val="12"/>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eastAsia" w:ascii="仿宋" w:hAnsi="仿宋" w:eastAsia="仿宋" w:cs="仿宋"/>
                <w:sz w:val="21"/>
                <w:szCs w:val="21"/>
                <w:lang w:val="en-US" w:eastAsia="zh-CN"/>
              </w:rPr>
            </w:pPr>
          </w:p>
          <w:p w14:paraId="6901AC44">
            <w:pPr>
              <w:pStyle w:val="12"/>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eastAsia" w:ascii="仿宋" w:hAnsi="仿宋" w:eastAsia="仿宋" w:cs="仿宋"/>
                <w:sz w:val="21"/>
                <w:szCs w:val="21"/>
                <w:lang w:val="en-US" w:eastAsia="zh-CN"/>
              </w:rPr>
            </w:pPr>
          </w:p>
          <w:p w14:paraId="7E0C3B6C">
            <w:pPr>
              <w:pStyle w:val="12"/>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主观分</w:t>
            </w:r>
          </w:p>
        </w:tc>
      </w:tr>
      <w:tr w14:paraId="7F74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802"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689F6AD">
            <w:pPr>
              <w:pStyle w:val="12"/>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业绩</w:t>
            </w:r>
          </w:p>
        </w:tc>
        <w:tc>
          <w:tcPr>
            <w:tcW w:w="291"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6553432">
            <w:pPr>
              <w:pStyle w:val="12"/>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3177"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2DB8A96">
            <w:pPr>
              <w:pStyle w:val="12"/>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投标人提供2021年至今相似业绩，一个得5分，最多得20分。提供合同或中标/成交通知书等证明材料。</w:t>
            </w:r>
          </w:p>
        </w:tc>
        <w:tc>
          <w:tcPr>
            <w:tcW w:w="728"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AF7350C">
            <w:pPr>
              <w:pStyle w:val="12"/>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客观分</w:t>
            </w:r>
          </w:p>
        </w:tc>
      </w:tr>
    </w:tbl>
    <w:p w14:paraId="62F27FAB">
      <w:pPr>
        <w:numPr>
          <w:ilvl w:val="0"/>
          <w:numId w:val="1"/>
        </w:numPr>
        <w:ind w:left="0" w:leftChars="0" w:firstLine="0" w:firstLineChars="0"/>
        <w:jc w:val="both"/>
        <w:rPr>
          <w:rFonts w:hint="eastAsia" w:ascii="宋体" w:hAnsi="宋体" w:eastAsia="宋体" w:cs="宋体"/>
          <w:b/>
          <w:bCs/>
          <w:kern w:val="2"/>
          <w:sz w:val="27"/>
          <w:szCs w:val="27"/>
          <w:lang w:val="en-US" w:eastAsia="zh-CN" w:bidi="ar-SA"/>
        </w:rPr>
      </w:pPr>
      <w:r>
        <w:rPr>
          <w:rFonts w:hint="eastAsia" w:ascii="宋体" w:hAnsi="宋体" w:eastAsia="宋体" w:cs="宋体"/>
          <w:b/>
          <w:bCs/>
          <w:kern w:val="2"/>
          <w:sz w:val="27"/>
          <w:szCs w:val="27"/>
          <w:lang w:val="en-US" w:eastAsia="zh-CN" w:bidi="ar-SA"/>
        </w:rPr>
        <w:t>资质要求</w:t>
      </w:r>
      <w:r>
        <w:rPr>
          <w:rFonts w:hint="eastAsia" w:ascii="宋体" w:hAnsi="宋体" w:eastAsia="宋体" w:cs="宋体"/>
          <w:kern w:val="2"/>
          <w:sz w:val="27"/>
          <w:szCs w:val="27"/>
          <w:lang w:val="en-US" w:eastAsia="zh-CN" w:bidi="ar-SA"/>
        </w:rPr>
        <w:t>（所提供的材料需加盖公章）</w:t>
      </w:r>
    </w:p>
    <w:p w14:paraId="10756E90">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提供相应经营内容的公司营业执照复印件。</w:t>
      </w:r>
    </w:p>
    <w:p w14:paraId="59B28BA8">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提供组织机构代码复印件。</w:t>
      </w:r>
    </w:p>
    <w:p w14:paraId="6E8EA8DC">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提供税务登记证复印件。</w:t>
      </w:r>
    </w:p>
    <w:p w14:paraId="44F094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（4）法定代表人直接参与报名的，需提供法定代表人身份证原件，同时提供复印件。</w:t>
      </w:r>
    </w:p>
    <w:p w14:paraId="6B16A37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（5）委托代理人参与报名的，需提供法定代表人授权委托书、委托代理人身份证原件，同时提供法定代表人以及委托代理人身份证复印件。</w:t>
      </w:r>
    </w:p>
    <w:p w14:paraId="469F484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（6）产品生产许可证（生产企业提供）、食品流通（经营）许可证的复印件。</w:t>
      </w:r>
    </w:p>
    <w:p w14:paraId="13363B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（7）本项目不接收联合体投标</w:t>
      </w:r>
      <w:r>
        <w:rPr>
          <w:rFonts w:hint="eastAsia" w:ascii="仿宋" w:hAnsi="仿宋" w:eastAsia="仿宋" w:cs="仿宋"/>
          <w:i w:val="0"/>
          <w:iCs w:val="0"/>
          <w:caps w:val="0"/>
          <w:color w:val="000000"/>
          <w:spacing w:val="0"/>
          <w:sz w:val="24"/>
          <w:szCs w:val="24"/>
        </w:rPr>
        <w:t>。</w:t>
      </w:r>
    </w:p>
    <w:p w14:paraId="75858DE8">
      <w:pPr>
        <w:numPr>
          <w:ilvl w:val="0"/>
          <w:numId w:val="0"/>
        </w:numPr>
        <w:ind w:left="0" w:leftChars="0" w:firstLine="0" w:firstLineChars="0"/>
        <w:jc w:val="both"/>
        <w:rPr>
          <w:rFonts w:hint="default" w:ascii="宋体" w:hAnsi="宋体" w:eastAsia="宋体" w:cs="宋体"/>
          <w:b/>
          <w:bCs/>
          <w:kern w:val="2"/>
          <w:sz w:val="27"/>
          <w:szCs w:val="27"/>
          <w:lang w:val="en-US" w:eastAsia="zh-CN" w:bidi="ar-SA"/>
        </w:rPr>
      </w:pPr>
      <w:r>
        <w:rPr>
          <w:rFonts w:hint="eastAsia" w:ascii="宋体" w:hAnsi="宋体" w:eastAsia="宋体" w:cs="宋体"/>
          <w:b/>
          <w:bCs/>
          <w:kern w:val="2"/>
          <w:sz w:val="27"/>
          <w:szCs w:val="27"/>
          <w:lang w:val="en-US" w:eastAsia="zh-CN" w:bidi="ar-SA"/>
        </w:rPr>
        <w:t>三、其他要求（实质性要求）</w:t>
      </w:r>
    </w:p>
    <w:p w14:paraId="1A3B3AB3">
      <w:pPr>
        <w:numPr>
          <w:ilvl w:val="0"/>
          <w:numId w:val="0"/>
        </w:numPr>
        <w:ind w:left="0" w:leftChars="0" w:firstLine="0" w:firstLineChars="0"/>
        <w:jc w:val="both"/>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（1）项目要求：投标方负责提供、安装自动售货机及全权负责与自动售货机相关的运营项目，包括日常运营、维护及销售商品的售后服务。</w:t>
      </w:r>
    </w:p>
    <w:p w14:paraId="733CBCF4">
      <w:pPr>
        <w:numPr>
          <w:ilvl w:val="0"/>
          <w:numId w:val="0"/>
        </w:numPr>
        <w:ind w:left="0" w:leftChars="0" w:firstLine="0" w:firstLineChars="0"/>
        <w:jc w:val="both"/>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（2）经营内容：签订合同时由投标方提供经营清单。后续如需调整（增加、减少、变更等）须由投标方申请，经医院审核后确认后方能调整。不得以任何形式利用该场所进行非法活动。</w:t>
      </w:r>
    </w:p>
    <w:p w14:paraId="30A07F3B">
      <w:pPr>
        <w:numPr>
          <w:ilvl w:val="0"/>
          <w:numId w:val="0"/>
        </w:numPr>
        <w:ind w:left="0" w:leftChars="0" w:firstLine="0" w:firstLineChars="0"/>
        <w:jc w:val="both"/>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（3）价格控制：自助饮料售货机所售商品价格同等或低于市场零售价格，不得高于市场零售价，并保证符合国家食品安全质量标准。</w:t>
      </w:r>
    </w:p>
    <w:p w14:paraId="5A318684">
      <w:pPr>
        <w:numPr>
          <w:ilvl w:val="0"/>
          <w:numId w:val="0"/>
        </w:numPr>
        <w:ind w:left="0" w:leftChars="0" w:firstLine="0" w:firstLineChars="0"/>
        <w:jc w:val="both"/>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（4）设备产权：归投标方所有，一切维护成本均与医院无关。</w:t>
      </w:r>
    </w:p>
    <w:p w14:paraId="5EC2E044">
      <w:pPr>
        <w:numPr>
          <w:ilvl w:val="0"/>
          <w:numId w:val="0"/>
        </w:numPr>
        <w:ind w:left="0" w:leftChars="0" w:firstLine="0" w:firstLineChars="0"/>
        <w:jc w:val="both"/>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（5）经营要求：投标方独立经营，经营过程中的所有事宜与医院无关。经营行为须满足上级部门的相关要求。</w:t>
      </w:r>
    </w:p>
    <w:p w14:paraId="6021F4B9">
      <w:pPr>
        <w:numPr>
          <w:ilvl w:val="0"/>
          <w:numId w:val="0"/>
        </w:numPr>
        <w:ind w:left="0" w:leftChars="0" w:firstLine="0" w:firstLineChars="0"/>
        <w:jc w:val="both"/>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6)质量保证：投标方经营产品须是满足市场要求的合规产品，一经发现商品安全及经营违法问题,中标方负全部责任。并保证所有商品在保质期前一个月下架整改，连续三次整改不到位的，医院有权终止协议并追究中标方责任。造成的经济损失由中标方负责。</w:t>
      </w:r>
    </w:p>
    <w:p w14:paraId="54BBFD9F">
      <w:pPr>
        <w:numPr>
          <w:ilvl w:val="0"/>
          <w:numId w:val="0"/>
        </w:numPr>
        <w:ind w:left="0" w:leftChars="0" w:firstLine="0" w:firstLineChars="0"/>
        <w:jc w:val="both"/>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（7）中标方不得在设备及场地内张贴或发布与经营产品无关的广告。</w:t>
      </w:r>
    </w:p>
    <w:p w14:paraId="1F21D155">
      <w:pPr>
        <w:numPr>
          <w:ilvl w:val="0"/>
          <w:numId w:val="0"/>
        </w:numPr>
        <w:ind w:left="0" w:leftChars="0" w:firstLine="0" w:firstLineChars="0"/>
        <w:jc w:val="both"/>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（8）支付方式：智能科技化，支持当前主流的支付方式，如纸币、支付宝、微信等，支付方式灵活。</w:t>
      </w:r>
    </w:p>
    <w:p w14:paraId="07211637">
      <w:pPr>
        <w:numPr>
          <w:ilvl w:val="0"/>
          <w:numId w:val="0"/>
        </w:numPr>
        <w:ind w:left="0" w:leftChars="0" w:firstLine="0" w:firstLineChars="0"/>
        <w:jc w:val="both"/>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（9）设备性能：需提供全新机器，符合国际ISO9000质量保证体系，新能稳定，故障率低，节能环保，耗电量低。</w:t>
      </w:r>
    </w:p>
    <w:p w14:paraId="73543E2D">
      <w:pPr>
        <w:pStyle w:val="7"/>
        <w:ind w:left="0" w:leftChars="0" w:firstLine="0" w:firstLineChars="0"/>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10）投标方在产品投放前应自行充分论证接入电线线路的安全性，投放后因产品原因造成的一切安全事故（包括但不限于：失火、漏电、爆炸等）由服务商承担全部责任，并对此造成的人身及财产损失进行赔偿，同时负责恢复由此造成的医院声誉损失。</w:t>
      </w:r>
    </w:p>
    <w:p w14:paraId="148DDD8D">
      <w:pPr>
        <w:numPr>
          <w:ilvl w:val="0"/>
          <w:numId w:val="0"/>
        </w:numPr>
        <w:ind w:left="0" w:leftChars="0" w:firstLine="0" w:firstLineChars="0"/>
        <w:jc w:val="both"/>
        <w:rPr>
          <w:rFonts w:hint="default"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（11）其他：</w:t>
      </w:r>
    </w:p>
    <w:p w14:paraId="15FF89EA">
      <w:pPr>
        <w:numPr>
          <w:ilvl w:val="0"/>
          <w:numId w:val="0"/>
        </w:numPr>
        <w:jc w:val="both"/>
        <w:rPr>
          <w:rFonts w:hint="default" w:ascii="宋体" w:hAnsi="宋体" w:eastAsia="宋体" w:cs="宋体"/>
          <w:sz w:val="27"/>
          <w:szCs w:val="27"/>
          <w:lang w:val="en-US" w:eastAsia="zh-CN"/>
        </w:rPr>
      </w:pPr>
      <w:r>
        <w:rPr>
          <w:rFonts w:hint="eastAsia" w:ascii="宋体" w:hAnsi="宋体" w:eastAsia="宋体" w:cs="宋体"/>
          <w:sz w:val="27"/>
          <w:szCs w:val="27"/>
          <w:lang w:val="en-US" w:eastAsia="zh-CN"/>
        </w:rPr>
        <w:t>1、自助饮料售货机投放数量及地点由院方指定，所选地点必须避开各种消防通道，步行梯，电梯等紧急疏散场所，自觉遵守安全生产规章制度，严防火灾等安全隐患发生。</w:t>
      </w:r>
    </w:p>
    <w:p w14:paraId="64C899C6">
      <w:pPr>
        <w:numPr>
          <w:ilvl w:val="0"/>
          <w:numId w:val="0"/>
        </w:numPr>
        <w:jc w:val="both"/>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2、如因机器故障或销售商品质量及合法性引起的投诉或意外事故以及违规违法等，投标方应安排人员在30分钟内到达现场处理，医院不承担任何责任。</w:t>
      </w:r>
    </w:p>
    <w:p w14:paraId="78CBA159">
      <w:pPr>
        <w:numPr>
          <w:ilvl w:val="0"/>
          <w:numId w:val="0"/>
        </w:numPr>
        <w:jc w:val="both"/>
        <w:rPr>
          <w:rFonts w:hint="default" w:ascii="宋体" w:hAnsi="宋体" w:eastAsia="宋体" w:cs="宋体"/>
          <w:sz w:val="27"/>
          <w:szCs w:val="27"/>
          <w:lang w:val="en-US" w:eastAsia="zh-CN"/>
        </w:rPr>
      </w:pPr>
      <w:r>
        <w:rPr>
          <w:rFonts w:hint="eastAsia" w:ascii="宋体" w:hAnsi="宋体" w:eastAsia="宋体" w:cs="宋体"/>
          <w:sz w:val="27"/>
          <w:szCs w:val="27"/>
          <w:lang w:val="en-US" w:eastAsia="zh-CN"/>
        </w:rPr>
        <w:t>3、投标方</w:t>
      </w:r>
      <w:r>
        <w:rPr>
          <w:rFonts w:hint="default" w:ascii="宋体" w:hAnsi="宋体" w:eastAsia="宋体" w:cs="宋体"/>
          <w:sz w:val="27"/>
          <w:szCs w:val="27"/>
          <w:lang w:val="en-US" w:eastAsia="zh-CN"/>
        </w:rPr>
        <w:t>有违法经营或超约定范围经营的，</w:t>
      </w:r>
      <w:r>
        <w:rPr>
          <w:rFonts w:hint="eastAsia" w:ascii="宋体" w:hAnsi="宋体" w:eastAsia="宋体" w:cs="宋体"/>
          <w:sz w:val="27"/>
          <w:szCs w:val="27"/>
          <w:lang w:val="en-US" w:eastAsia="zh-CN"/>
        </w:rPr>
        <w:t>医院</w:t>
      </w:r>
      <w:r>
        <w:rPr>
          <w:rFonts w:hint="default" w:ascii="宋体" w:hAnsi="宋体" w:eastAsia="宋体" w:cs="宋体"/>
          <w:sz w:val="27"/>
          <w:szCs w:val="27"/>
          <w:lang w:val="en-US" w:eastAsia="zh-CN"/>
        </w:rPr>
        <w:t>有权单方解除合同，并要求</w:t>
      </w:r>
      <w:r>
        <w:rPr>
          <w:rFonts w:hint="eastAsia" w:ascii="宋体" w:hAnsi="宋体" w:eastAsia="宋体" w:cs="宋体"/>
          <w:sz w:val="27"/>
          <w:szCs w:val="27"/>
          <w:lang w:val="en-US" w:eastAsia="zh-CN"/>
        </w:rPr>
        <w:t>投标方</w:t>
      </w:r>
      <w:r>
        <w:rPr>
          <w:rFonts w:hint="default" w:ascii="宋体" w:hAnsi="宋体" w:eastAsia="宋体" w:cs="宋体"/>
          <w:sz w:val="27"/>
          <w:szCs w:val="27"/>
          <w:lang w:val="en-US" w:eastAsia="zh-CN"/>
        </w:rPr>
        <w:t>在收到</w:t>
      </w:r>
      <w:r>
        <w:rPr>
          <w:rFonts w:hint="eastAsia" w:ascii="宋体" w:hAnsi="宋体" w:eastAsia="宋体" w:cs="宋体"/>
          <w:sz w:val="27"/>
          <w:szCs w:val="27"/>
          <w:lang w:val="en-US" w:eastAsia="zh-CN"/>
        </w:rPr>
        <w:t>医院</w:t>
      </w:r>
      <w:r>
        <w:rPr>
          <w:rFonts w:hint="default" w:ascii="宋体" w:hAnsi="宋体" w:eastAsia="宋体" w:cs="宋体"/>
          <w:sz w:val="27"/>
          <w:szCs w:val="27"/>
          <w:lang w:val="en-US" w:eastAsia="zh-CN"/>
        </w:rPr>
        <w:t>解除合同通知后三日将相关设备撤除，否则</w:t>
      </w:r>
      <w:r>
        <w:rPr>
          <w:rFonts w:hint="eastAsia" w:ascii="宋体" w:hAnsi="宋体" w:eastAsia="宋体" w:cs="宋体"/>
          <w:sz w:val="27"/>
          <w:szCs w:val="27"/>
          <w:lang w:val="en-US" w:eastAsia="zh-CN"/>
        </w:rPr>
        <w:t>医院</w:t>
      </w:r>
      <w:r>
        <w:rPr>
          <w:rFonts w:hint="default" w:ascii="宋体" w:hAnsi="宋体" w:eastAsia="宋体" w:cs="宋体"/>
          <w:sz w:val="27"/>
          <w:szCs w:val="27"/>
          <w:lang w:val="en-US" w:eastAsia="zh-CN"/>
        </w:rPr>
        <w:t>有权单方拆除，已经收取的</w:t>
      </w:r>
      <w:r>
        <w:rPr>
          <w:rFonts w:hint="eastAsia" w:ascii="宋体" w:hAnsi="宋体" w:eastAsia="宋体" w:cs="宋体"/>
          <w:sz w:val="27"/>
          <w:szCs w:val="27"/>
          <w:lang w:val="en-US" w:eastAsia="zh-CN"/>
        </w:rPr>
        <w:t>租赁费</w:t>
      </w:r>
      <w:r>
        <w:rPr>
          <w:rFonts w:hint="default" w:ascii="宋体" w:hAnsi="宋体" w:eastAsia="宋体" w:cs="宋体"/>
          <w:sz w:val="27"/>
          <w:szCs w:val="27"/>
          <w:lang w:val="en-US" w:eastAsia="zh-CN"/>
        </w:rPr>
        <w:t>用不予退还，所有损失均由</w:t>
      </w:r>
      <w:r>
        <w:rPr>
          <w:rFonts w:hint="eastAsia" w:ascii="宋体" w:hAnsi="宋体" w:eastAsia="宋体" w:cs="宋体"/>
          <w:sz w:val="27"/>
          <w:szCs w:val="27"/>
          <w:lang w:val="en-US" w:eastAsia="zh-CN"/>
        </w:rPr>
        <w:t>投标方</w:t>
      </w:r>
      <w:r>
        <w:rPr>
          <w:rFonts w:hint="default" w:ascii="宋体" w:hAnsi="宋体" w:eastAsia="宋体" w:cs="宋体"/>
          <w:sz w:val="27"/>
          <w:szCs w:val="27"/>
          <w:lang w:val="en-US" w:eastAsia="zh-CN"/>
        </w:rPr>
        <w:t>承担。</w:t>
      </w:r>
    </w:p>
    <w:p w14:paraId="1D424607">
      <w:pPr>
        <w:numPr>
          <w:ilvl w:val="0"/>
          <w:numId w:val="0"/>
        </w:numPr>
        <w:jc w:val="both"/>
        <w:rPr>
          <w:rFonts w:hint="default" w:ascii="宋体" w:hAnsi="宋体" w:eastAsia="宋体" w:cs="宋体"/>
          <w:sz w:val="27"/>
          <w:szCs w:val="27"/>
          <w:lang w:val="en-US" w:eastAsia="zh-CN"/>
        </w:rPr>
      </w:pPr>
      <w:r>
        <w:rPr>
          <w:rFonts w:hint="eastAsia" w:ascii="宋体" w:hAnsi="宋体" w:eastAsia="宋体" w:cs="宋体"/>
          <w:sz w:val="27"/>
          <w:szCs w:val="27"/>
          <w:lang w:val="en-US" w:eastAsia="zh-CN"/>
        </w:rPr>
        <w:t>4、服从我院各项管理制度及工作安排。</w:t>
      </w:r>
    </w:p>
    <w:p w14:paraId="23ED1983">
      <w:pPr>
        <w:numPr>
          <w:ilvl w:val="0"/>
          <w:numId w:val="0"/>
        </w:numPr>
        <w:jc w:val="both"/>
        <w:rPr>
          <w:rFonts w:hint="default" w:ascii="宋体" w:hAnsi="宋体" w:eastAsia="宋体" w:cs="宋体"/>
          <w:sz w:val="27"/>
          <w:szCs w:val="27"/>
          <w:lang w:val="en-US" w:eastAsia="zh-CN"/>
        </w:rPr>
      </w:pPr>
      <w:r>
        <w:rPr>
          <w:rFonts w:hint="eastAsia" w:ascii="宋体" w:hAnsi="宋体" w:eastAsia="宋体" w:cs="宋体"/>
          <w:sz w:val="27"/>
          <w:szCs w:val="27"/>
          <w:lang w:val="en-US" w:eastAsia="zh-CN"/>
        </w:rPr>
        <w:t>5、其他未尽事项双方可在合同内另行约定。</w:t>
      </w:r>
    </w:p>
    <w:p w14:paraId="7B064409">
      <w:pPr>
        <w:numPr>
          <w:ilvl w:val="0"/>
          <w:numId w:val="0"/>
        </w:numPr>
        <w:jc w:val="both"/>
        <w:rPr>
          <w:rFonts w:hint="default" w:ascii="宋体" w:hAnsi="宋体" w:eastAsia="宋体" w:cs="宋体"/>
          <w:sz w:val="27"/>
          <w:szCs w:val="27"/>
          <w:lang w:val="en-US" w:eastAsia="zh-CN"/>
        </w:rPr>
      </w:pPr>
    </w:p>
    <w:p w14:paraId="782F7C7A">
      <w:pPr>
        <w:numPr>
          <w:ilvl w:val="0"/>
          <w:numId w:val="0"/>
        </w:numPr>
        <w:jc w:val="both"/>
        <w:rPr>
          <w:rFonts w:hint="default" w:ascii="宋体" w:hAnsi="宋体" w:eastAsia="宋体" w:cs="宋体"/>
          <w:sz w:val="27"/>
          <w:szCs w:val="27"/>
          <w:lang w:val="en-US" w:eastAsia="zh-CN"/>
        </w:rPr>
      </w:pPr>
    </w:p>
    <w:p w14:paraId="58CA8A96">
      <w:pPr>
        <w:numPr>
          <w:ilvl w:val="0"/>
          <w:numId w:val="0"/>
        </w:numPr>
        <w:jc w:val="both"/>
        <w:rPr>
          <w:rFonts w:hint="default" w:ascii="宋体" w:hAnsi="宋体" w:eastAsia="宋体" w:cs="宋体"/>
          <w:sz w:val="27"/>
          <w:szCs w:val="27"/>
          <w:lang w:val="en-US" w:eastAsia="zh-CN"/>
        </w:rPr>
      </w:pPr>
    </w:p>
    <w:p w14:paraId="7334FA04">
      <w:pPr>
        <w:numPr>
          <w:ilvl w:val="0"/>
          <w:numId w:val="0"/>
        </w:numPr>
        <w:jc w:val="both"/>
        <w:rPr>
          <w:rFonts w:hint="default" w:ascii="宋体" w:hAnsi="宋体" w:eastAsia="宋体" w:cs="宋体"/>
          <w:sz w:val="27"/>
          <w:szCs w:val="27"/>
          <w:lang w:val="en-US" w:eastAsia="zh-CN"/>
        </w:rPr>
      </w:pPr>
    </w:p>
    <w:p w14:paraId="4EBC6BE1">
      <w:pPr>
        <w:numPr>
          <w:ilvl w:val="0"/>
          <w:numId w:val="0"/>
        </w:numPr>
        <w:jc w:val="both"/>
        <w:rPr>
          <w:rFonts w:hint="default" w:ascii="宋体" w:hAnsi="宋体" w:eastAsia="宋体" w:cs="宋体"/>
          <w:sz w:val="27"/>
          <w:szCs w:val="27"/>
          <w:lang w:val="en-US" w:eastAsia="zh-CN"/>
        </w:rPr>
      </w:pPr>
    </w:p>
    <w:p w14:paraId="080122FA">
      <w:pPr>
        <w:numPr>
          <w:ilvl w:val="0"/>
          <w:numId w:val="0"/>
        </w:numPr>
        <w:jc w:val="both"/>
        <w:rPr>
          <w:rFonts w:hint="default" w:ascii="宋体" w:hAnsi="宋体" w:eastAsia="宋体" w:cs="宋体"/>
          <w:sz w:val="27"/>
          <w:szCs w:val="27"/>
          <w:lang w:val="en-US" w:eastAsia="zh-CN"/>
        </w:rPr>
      </w:pPr>
    </w:p>
    <w:p w14:paraId="04805143">
      <w:pPr>
        <w:numPr>
          <w:ilvl w:val="0"/>
          <w:numId w:val="0"/>
        </w:numPr>
        <w:jc w:val="both"/>
        <w:rPr>
          <w:rFonts w:hint="default" w:ascii="宋体" w:hAnsi="宋体" w:eastAsia="宋体" w:cs="宋体"/>
          <w:sz w:val="27"/>
          <w:szCs w:val="27"/>
          <w:lang w:val="en-US" w:eastAsia="zh-CN"/>
        </w:rPr>
      </w:pPr>
      <w:bookmarkStart w:id="0" w:name="_GoBack"/>
      <w:bookmarkEnd w:id="0"/>
      <w:r>
        <w:rPr>
          <w:rFonts w:hint="eastAsia" w:ascii="宋体" w:hAnsi="宋体" w:eastAsia="宋体" w:cs="宋体"/>
          <w:sz w:val="27"/>
          <w:szCs w:val="27"/>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CCF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1425D">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81425D">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58052"/>
    <w:multiLevelType w:val="singleLevel"/>
    <w:tmpl w:val="4A158052"/>
    <w:lvl w:ilvl="0" w:tentative="0">
      <w:start w:val="2"/>
      <w:numFmt w:val="chineseCounting"/>
      <w:suff w:val="nothing"/>
      <w:lvlText w:val="%1、"/>
      <w:lvlJc w:val="left"/>
      <w:rPr>
        <w:rFonts w:hint="eastAsia"/>
      </w:rPr>
    </w:lvl>
  </w:abstractNum>
  <w:abstractNum w:abstractNumId="1">
    <w:nsid w:val="67BDB087"/>
    <w:multiLevelType w:val="singleLevel"/>
    <w:tmpl w:val="67BDB08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NGRkZjkyYTBjY2U1ZTY3ODBiODgwMGI2N2ZiODYifQ=="/>
  </w:docVars>
  <w:rsids>
    <w:rsidRoot w:val="00000000"/>
    <w:rsid w:val="01043612"/>
    <w:rsid w:val="015754F6"/>
    <w:rsid w:val="04F217BD"/>
    <w:rsid w:val="055E6E53"/>
    <w:rsid w:val="0683688E"/>
    <w:rsid w:val="0AD6392F"/>
    <w:rsid w:val="0CB95D92"/>
    <w:rsid w:val="0DAF693D"/>
    <w:rsid w:val="0DDF2AFB"/>
    <w:rsid w:val="0FDF6DE2"/>
    <w:rsid w:val="11E15093"/>
    <w:rsid w:val="122338FE"/>
    <w:rsid w:val="12647A72"/>
    <w:rsid w:val="12834530"/>
    <w:rsid w:val="14092680"/>
    <w:rsid w:val="14617D61"/>
    <w:rsid w:val="155041B0"/>
    <w:rsid w:val="15FA6724"/>
    <w:rsid w:val="17487963"/>
    <w:rsid w:val="19375EE1"/>
    <w:rsid w:val="1B0B7586"/>
    <w:rsid w:val="21064A4C"/>
    <w:rsid w:val="22AC349C"/>
    <w:rsid w:val="2F37233F"/>
    <w:rsid w:val="307A5B66"/>
    <w:rsid w:val="327C5F03"/>
    <w:rsid w:val="33B03740"/>
    <w:rsid w:val="343D039C"/>
    <w:rsid w:val="345D641A"/>
    <w:rsid w:val="35C92EDD"/>
    <w:rsid w:val="3B4E4C98"/>
    <w:rsid w:val="3E912DE9"/>
    <w:rsid w:val="41354204"/>
    <w:rsid w:val="41B23D94"/>
    <w:rsid w:val="44B76C5F"/>
    <w:rsid w:val="465B62E1"/>
    <w:rsid w:val="4A8B1677"/>
    <w:rsid w:val="4AF3587D"/>
    <w:rsid w:val="4BCB724A"/>
    <w:rsid w:val="4E696BE8"/>
    <w:rsid w:val="504A1A7A"/>
    <w:rsid w:val="504E3E46"/>
    <w:rsid w:val="53DB0C3B"/>
    <w:rsid w:val="559A7000"/>
    <w:rsid w:val="5F4976A3"/>
    <w:rsid w:val="5F911286"/>
    <w:rsid w:val="612754C0"/>
    <w:rsid w:val="62C11746"/>
    <w:rsid w:val="662E109F"/>
    <w:rsid w:val="6689130C"/>
    <w:rsid w:val="66B23A7E"/>
    <w:rsid w:val="69C441F4"/>
    <w:rsid w:val="6AD8434E"/>
    <w:rsid w:val="6BB00EAB"/>
    <w:rsid w:val="6EA168B2"/>
    <w:rsid w:val="6FF51BE9"/>
    <w:rsid w:val="70E76A1A"/>
    <w:rsid w:val="72B44508"/>
    <w:rsid w:val="739369E5"/>
    <w:rsid w:val="74681C20"/>
    <w:rsid w:val="757D3D98"/>
    <w:rsid w:val="75B25BEC"/>
    <w:rsid w:val="771A0364"/>
    <w:rsid w:val="784D04B5"/>
    <w:rsid w:val="78C47A5D"/>
    <w:rsid w:val="7A792DD8"/>
    <w:rsid w:val="7ACA6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qFormat/>
    <w:uiPriority w:val="9"/>
    <w:pPr>
      <w:keepNext/>
      <w:spacing w:before="240" w:after="60"/>
      <w:outlineLvl w:val="3"/>
    </w:pPr>
    <w:rPr>
      <w:b/>
      <w:bCs/>
      <w:sz w:val="28"/>
      <w:szCs w:val="28"/>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1"/>
    <w:next w:val="1"/>
    <w:qFormat/>
    <w:uiPriority w:val="0"/>
    <w:pPr>
      <w:spacing w:after="120" w:line="240" w:lineRule="auto"/>
      <w:ind w:firstLine="420" w:firstLineChars="100"/>
    </w:pPr>
    <w:rPr>
      <w:rFonts w:ascii="Calibri"/>
      <w:sz w:val="26"/>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styleId="12">
    <w:name w:val="List Paragraph"/>
    <w:basedOn w:val="1"/>
    <w:autoRedefine/>
    <w:qFormat/>
    <w:uiPriority w:val="34"/>
    <w:pPr>
      <w:ind w:firstLine="420" w:firstLineChars="200"/>
    </w:pPr>
    <w:rPr>
      <w:rFonts w:ascii="Calibri" w:hAnsi="Calibri" w:eastAsia="宋体" w:cs="Times New Roman"/>
    </w:rPr>
  </w:style>
  <w:style w:type="character" w:customStyle="1" w:styleId="13">
    <w:name w:val="font01"/>
    <w:basedOn w:val="10"/>
    <w:autoRedefine/>
    <w:qFormat/>
    <w:uiPriority w:val="0"/>
    <w:rPr>
      <w:rFonts w:hint="eastAsia" w:ascii="宋体" w:hAnsi="宋体" w:eastAsia="宋体" w:cs="宋体"/>
      <w:color w:val="000000"/>
      <w:sz w:val="22"/>
      <w:szCs w:val="22"/>
      <w:u w:val="none"/>
    </w:rPr>
  </w:style>
  <w:style w:type="character" w:customStyle="1" w:styleId="14">
    <w:name w:val="font11"/>
    <w:basedOn w:val="10"/>
    <w:autoRedefine/>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2128</Words>
  <Characters>2155</Characters>
  <Lines>0</Lines>
  <Paragraphs>0</Paragraphs>
  <TotalTime>44</TotalTime>
  <ScaleCrop>false</ScaleCrop>
  <LinksUpToDate>false</LinksUpToDate>
  <CharactersWithSpaces>2171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2024-01-19T01:32:00Z</dcterms:created>
  <dc:creator>admin</dc:creator>
  <cp:lastModifiedBy>李晨曦</cp:lastModifiedBy>
  <cp:lastPrinted>2024-08-28T07:23:00Z</cp:lastPrinted>
  <dcterms:modified xsi:type="dcterms:W3CDTF">2024-08-29T00:35:44Z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4C67F52BF20743C39BD9DCEE463A4284_13</vt:lpwstr>
  </property>
</Properties>
</file>