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75"/>
        <w:gridCol w:w="662"/>
        <w:gridCol w:w="5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货</w:t>
            </w:r>
            <w:r>
              <w:rPr>
                <w:rFonts w:hint="eastAsia"/>
                <w:sz w:val="28"/>
                <w:szCs w:val="28"/>
              </w:rPr>
              <w:t>物名称</w:t>
            </w:r>
          </w:p>
        </w:tc>
        <w:tc>
          <w:tcPr>
            <w:tcW w:w="7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6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</w:t>
            </w:r>
          </w:p>
        </w:tc>
        <w:tc>
          <w:tcPr>
            <w:tcW w:w="560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机动车驾驶员自助体检机</w:t>
            </w:r>
          </w:p>
        </w:tc>
        <w:tc>
          <w:tcPr>
            <w:tcW w:w="77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66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8万元</w:t>
            </w:r>
          </w:p>
        </w:tc>
        <w:tc>
          <w:tcPr>
            <w:tcW w:w="560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一、</w:t>
            </w:r>
            <w:r>
              <w:rPr>
                <w:rFonts w:hint="eastAsia"/>
                <w:lang w:val="en-US" w:eastAsia="zh-CN"/>
              </w:rPr>
              <w:t>驾驶人体检通过后，体检信息可直接通过互联网接口上传到交管综合服务平台，采购人无需再次申请接口。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二、</w:t>
            </w:r>
            <w:r>
              <w:rPr>
                <w:rFonts w:hint="eastAsia"/>
                <w:lang w:val="en-US" w:eastAsia="zh-CN"/>
              </w:rPr>
              <w:t>可实现对体检人员身高、视力、听力、辨色力、上下肢、躯干以及颈部以及经自主创新研发的手掌握力检测。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eastAsia="宋体" w:cs="宋体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  <w:t>三、</w:t>
            </w:r>
            <w:r>
              <w:rPr>
                <w:rFonts w:hint="eastAsia"/>
                <w:lang w:val="en-US" w:eastAsia="zh-CN"/>
              </w:rPr>
              <w:t>体检平台主要实现设备网点管理、设备模板动态配置、流程信息一键应用、体检信息在线审核、医院信息管理、体检退费处理等功能，帮助医生进行体检业务缴费信息查询、体检在线审核、体检信息查询统计，及时充分地了解各网点体检业务的办理情况。除此之外还可通过云平台查看各地接入的设备，对设备的状态和现场进行远程监控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eastAsia="宋体" w:cs="宋体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  <w:t>四、</w:t>
            </w:r>
            <w:r>
              <w:rPr>
                <w:rFonts w:hint="eastAsia" w:eastAsia="宋体" w:cs="宋体"/>
              </w:rPr>
              <w:t>高度智能化</w:t>
            </w:r>
            <w:r>
              <w:rPr>
                <w:rFonts w:hint="eastAsia" w:eastAsia="宋体" w:cs="宋体"/>
                <w:lang w:eastAsia="zh-CN"/>
              </w:rPr>
              <w:t>：</w:t>
            </w:r>
            <w:r>
              <w:rPr>
                <w:rFonts w:hint="eastAsia" w:eastAsia="宋体" w:cs="宋体"/>
              </w:rPr>
              <w:t>自动灯光控制、自动人像定位、自动照片处理、自动辅助提示系统、自动升降相机拍摄，适应不同的人群，申请人只需按照提示即可</w:t>
            </w:r>
            <w:r>
              <w:rPr>
                <w:rFonts w:hint="eastAsia" w:eastAsia="宋体" w:cs="宋体"/>
                <w:lang w:val="en-US" w:eastAsia="zh-CN"/>
              </w:rPr>
              <w:t>实现身份证人像比对</w:t>
            </w:r>
            <w:r>
              <w:rPr>
                <w:rFonts w:hint="eastAsia" w:eastAsia="宋体" w:cs="宋体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eastAsia="宋体" w:cs="宋体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  <w:t>五、</w:t>
            </w:r>
            <w:r>
              <w:rPr>
                <w:rFonts w:hint="eastAsia" w:eastAsia="宋体" w:cs="宋体"/>
              </w:rPr>
              <w:t>方便快捷</w:t>
            </w:r>
            <w:r>
              <w:rPr>
                <w:rFonts w:hint="eastAsia" w:eastAsia="宋体" w:cs="宋体"/>
                <w:lang w:eastAsia="zh-CN"/>
              </w:rPr>
              <w:t>：</w:t>
            </w:r>
            <w:r>
              <w:rPr>
                <w:rFonts w:hint="eastAsia" w:eastAsia="宋体" w:cs="宋体"/>
              </w:rPr>
              <w:t>设计便于群众操作，只需根据指引，逐步操作，5分钟即可完成</w:t>
            </w:r>
            <w:r>
              <w:rPr>
                <w:rFonts w:hint="eastAsia" w:eastAsia="宋体" w:cs="宋体"/>
                <w:lang w:val="en-US" w:eastAsia="zh-CN"/>
              </w:rPr>
              <w:t>信息录入、人像比对</w:t>
            </w:r>
            <w:r>
              <w:rPr>
                <w:rFonts w:hint="eastAsia" w:eastAsia="宋体" w:cs="宋体"/>
              </w:rPr>
              <w:t>、</w:t>
            </w:r>
            <w:r>
              <w:rPr>
                <w:rFonts w:hint="eastAsia" w:eastAsia="宋体" w:cs="宋体"/>
                <w:lang w:val="en-US" w:eastAsia="zh-CN"/>
              </w:rPr>
              <w:t>自助体检</w:t>
            </w:r>
            <w:r>
              <w:rPr>
                <w:rFonts w:hint="eastAsia" w:eastAsia="宋体" w:cs="宋体"/>
              </w:rPr>
              <w:t>、上传、</w:t>
            </w:r>
            <w:r>
              <w:rPr>
                <w:rFonts w:hint="eastAsia" w:eastAsia="宋体" w:cs="宋体"/>
                <w:lang w:val="en-US" w:eastAsia="zh-CN"/>
              </w:rPr>
              <w:t>等</w:t>
            </w:r>
            <w:r>
              <w:rPr>
                <w:rFonts w:hint="eastAsia" w:eastAsia="宋体" w:cs="宋体"/>
              </w:rPr>
              <w:t>全过程，流程化操作</w:t>
            </w:r>
            <w:r>
              <w:rPr>
                <w:rFonts w:hint="eastAsia" w:eastAsia="宋体" w:cs="宋体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eastAsia="宋体" w:cs="宋体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  <w:t>六、</w:t>
            </w:r>
            <w:r>
              <w:rPr>
                <w:rFonts w:hint="eastAsia" w:eastAsia="宋体" w:cs="宋体"/>
              </w:rPr>
              <w:t>高效率</w:t>
            </w:r>
            <w:r>
              <w:rPr>
                <w:rFonts w:hint="eastAsia" w:eastAsia="宋体" w:cs="宋体"/>
                <w:lang w:eastAsia="zh-CN"/>
              </w:rPr>
              <w:t>：</w:t>
            </w:r>
            <w:r>
              <w:rPr>
                <w:rFonts w:hint="eastAsia" w:eastAsia="宋体" w:cs="宋体"/>
              </w:rPr>
              <w:t>实现</w:t>
            </w:r>
            <w:r>
              <w:rPr>
                <w:rFonts w:hint="eastAsia" w:eastAsia="宋体" w:cs="宋体"/>
                <w:lang w:val="en-US" w:eastAsia="zh-CN"/>
              </w:rPr>
              <w:t>驾驶人体检</w:t>
            </w:r>
            <w:r>
              <w:rPr>
                <w:rFonts w:hint="eastAsia" w:eastAsia="宋体" w:cs="宋体"/>
              </w:rPr>
              <w:t>、</w:t>
            </w:r>
            <w:r>
              <w:rPr>
                <w:rFonts w:hint="eastAsia" w:eastAsia="宋体" w:cs="宋体"/>
                <w:lang w:val="en-US" w:eastAsia="zh-CN"/>
              </w:rPr>
              <w:t>费用缴纳、体检表打印</w:t>
            </w:r>
            <w:r>
              <w:rPr>
                <w:rFonts w:hint="eastAsia" w:eastAsia="宋体" w:cs="宋体"/>
              </w:rPr>
              <w:t>同机进行，一次性完成流程，无需第二次办理</w:t>
            </w:r>
            <w:r>
              <w:rPr>
                <w:rFonts w:hint="eastAsia" w:eastAsia="宋体" w:cs="宋体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eastAsia="宋体" w:cs="宋体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  <w:t>七、</w:t>
            </w:r>
            <w:r>
              <w:rPr>
                <w:rFonts w:hint="eastAsia" w:eastAsia="宋体" w:cs="宋体"/>
              </w:rPr>
              <w:t>无缝衔接</w:t>
            </w:r>
            <w:r>
              <w:rPr>
                <w:rFonts w:hint="eastAsia" w:eastAsia="宋体" w:cs="宋体"/>
                <w:lang w:eastAsia="zh-CN"/>
              </w:rPr>
              <w:t>：</w:t>
            </w:r>
            <w:r>
              <w:rPr>
                <w:rFonts w:hint="eastAsia" w:eastAsia="宋体" w:cs="宋体"/>
                <w:lang w:val="en-US" w:eastAsia="zh-CN"/>
              </w:rPr>
              <w:t>驾驶人体检信息</w:t>
            </w:r>
            <w:r>
              <w:rPr>
                <w:rFonts w:hint="eastAsia" w:eastAsia="宋体" w:cs="宋体"/>
              </w:rPr>
              <w:t>通过</w:t>
            </w:r>
            <w:r>
              <w:rPr>
                <w:rFonts w:hint="eastAsia" w:eastAsia="宋体" w:cs="宋体"/>
                <w:lang w:val="en-US" w:eastAsia="zh-CN"/>
              </w:rPr>
              <w:t>当地互联网接口</w:t>
            </w:r>
            <w:r>
              <w:rPr>
                <w:rFonts w:hint="eastAsia" w:eastAsia="宋体" w:cs="宋体"/>
              </w:rPr>
              <w:t>自动进入公安部门相关的业务管理系统中，无缝衔接，数据自动流转，无需人工干预</w:t>
            </w:r>
            <w:r>
              <w:rPr>
                <w:rFonts w:hint="eastAsia" w:eastAsia="宋体" w:cs="宋体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  <w:t>八、</w:t>
            </w:r>
            <w:r>
              <w:rPr>
                <w:rFonts w:hint="eastAsia" w:eastAsia="宋体" w:cs="宋体"/>
              </w:rPr>
              <w:t>高质量控制</w:t>
            </w:r>
            <w:r>
              <w:rPr>
                <w:rFonts w:hint="eastAsia" w:eastAsia="宋体" w:cs="宋体"/>
                <w:lang w:eastAsia="zh-CN"/>
              </w:rPr>
              <w:t>：</w:t>
            </w:r>
            <w:r>
              <w:rPr>
                <w:rFonts w:hint="eastAsia" w:eastAsia="宋体" w:cs="宋体"/>
                <w:lang w:val="en-US" w:eastAsia="zh-CN"/>
              </w:rPr>
              <w:t>严格按照公安部162号令对于驾驶人体检要求规范设置驾驶人体检流程</w:t>
            </w:r>
            <w:r>
              <w:rPr>
                <w:rFonts w:hint="eastAsia" w:eastAsia="宋体" w:cs="宋体"/>
              </w:rPr>
              <w:t>，并通过人像对比、信息核对技术，确保人证信息准确性、一致性</w:t>
            </w:r>
            <w:r>
              <w:rPr>
                <w:rFonts w:hint="eastAsia" w:eastAsia="宋体" w:cs="宋体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ODcyYjllY2U5NTY1ZTkzNDEzYzU2YTlkZjMyNzkifQ=="/>
  </w:docVars>
  <w:rsids>
    <w:rsidRoot w:val="00000000"/>
    <w:rsid w:val="0463150E"/>
    <w:rsid w:val="519C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  <w:kern w:val="2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2024-01-19T08:12:00Z</dcterms:created>
  <dc:creator>admin</dc:creator>
  <cp:lastModifiedBy>甯仁义</cp:lastModifiedBy>
  <dcterms:modified xsi:type="dcterms:W3CDTF">2024-01-19T08:38:31Z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341EB625560C47B2ABCDBD57E710DA96_13</vt:lpwstr>
  </property>
</Properties>
</file>