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ab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临床用血信息联网接口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相关技术</w:t>
      </w:r>
      <w:r>
        <w:rPr>
          <w:rFonts w:hint="eastAsia" w:cs="宋体"/>
          <w:b/>
          <w:bCs/>
          <w:kern w:val="0"/>
          <w:sz w:val="36"/>
          <w:szCs w:val="36"/>
          <w:lang w:val="en-US" w:eastAsia="zh-CN"/>
        </w:rPr>
        <w:t>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求</w:t>
      </w:r>
    </w:p>
    <w:p>
      <w:pPr>
        <w:pStyle w:val="13"/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项目概况</w:t>
      </w:r>
    </w:p>
    <w:p>
      <w:pPr>
        <w:pStyle w:val="1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按照《绵阳市医疗机构临床用血信息联网试点工作方案》文件要求， 我院作为试点医院需与四川省血液管理信息系统做对接，完成与血站临床用血数据互联互通、实时共享，将临床用血数据汇总到省、国家血液管理</w:t>
      </w:r>
      <w:r>
        <w:rPr>
          <w:rFonts w:hint="eastAsia" w:hAnsi="宋体" w:cs="宋体"/>
          <w:sz w:val="28"/>
          <w:szCs w:val="28"/>
          <w:lang w:eastAsia="zh-CN"/>
        </w:rPr>
        <w:t>绵阳市血液信息管理系统</w:t>
      </w:r>
      <w:r>
        <w:rPr>
          <w:rFonts w:hint="eastAsia" w:ascii="宋体" w:hAnsi="宋体" w:eastAsia="宋体" w:cs="宋体"/>
          <w:sz w:val="28"/>
          <w:szCs w:val="28"/>
        </w:rPr>
        <w:t>接口对接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pStyle w:val="13"/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技术要求</w:t>
      </w:r>
    </w:p>
    <w:tbl>
      <w:tblPr>
        <w:tblStyle w:val="10"/>
        <w:tblW w:w="10183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83"/>
        <w:gridCol w:w="6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BEBEBE" w:themeFill="background1" w:themeFillShade="BF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583" w:type="dxa"/>
            <w:shd w:val="clear" w:color="auto" w:fill="BEBEBE" w:themeFill="background1" w:themeFillShade="BF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总体要求</w:t>
            </w:r>
          </w:p>
        </w:tc>
        <w:tc>
          <w:tcPr>
            <w:tcW w:w="6800" w:type="dxa"/>
            <w:shd w:val="clear" w:color="auto" w:fill="BEBEBE" w:themeFill="background1" w:themeFillShade="BF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总体要求</w:t>
            </w:r>
          </w:p>
        </w:tc>
        <w:tc>
          <w:tcPr>
            <w:tcW w:w="6800" w:type="dxa"/>
          </w:tcPr>
          <w:p>
            <w:pPr>
              <w:pStyle w:val="13"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支持通过HTTP或HTTPS通道进行请求通信；</w:t>
            </w:r>
          </w:p>
          <w:p>
            <w:pPr>
              <w:pStyle w:val="13"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支持HTTP GET、POST、PUT、DELETE方法发送请求；</w:t>
            </w:r>
          </w:p>
          <w:p>
            <w:pPr>
              <w:pStyle w:val="13"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接口入参、出参，采用SM4加密，加密后字符串；</w:t>
            </w:r>
          </w:p>
          <w:p>
            <w:pPr>
              <w:pStyle w:val="13"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调用其他接口之前需要先获取Token。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血液入库记录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向绵阳市血液信息管理系统上传入库单信息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医院退血记录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向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上传退血信息。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血液即时库存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上传医院系统的库存中状态血液明细信息，批量上传当前库存中的所有血液信息，每小时上传一次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医院血液报废记录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向</w:t>
            </w:r>
            <w:r>
              <w:rPr>
                <w:rFonts w:hint="eastAsia" w:cs="宋体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上传血液报废单信息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 xml:space="preserve">外调血记录 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向</w:t>
            </w:r>
            <w:r>
              <w:rPr>
                <w:rFonts w:hint="eastAsia" w:cs="宋体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上传外调血记录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输血评估记录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向</w:t>
            </w:r>
            <w:r>
              <w:rPr>
                <w:rFonts w:hint="eastAsia" w:cs="宋体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上传输血前评估记录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异体输血申请记录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向</w:t>
            </w:r>
            <w:r>
              <w:rPr>
                <w:rFonts w:hint="eastAsia" w:cs="宋体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上传异体输血申请记录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临床发血报告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向</w:t>
            </w:r>
            <w:r>
              <w:rPr>
                <w:rFonts w:hint="eastAsia" w:cs="宋体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上传患者发血信息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输血后评价记录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向</w:t>
            </w:r>
            <w:r>
              <w:rPr>
                <w:rFonts w:hint="eastAsia" w:cs="宋体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上传输血后评价记录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标准字典对照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上传信息中性别，证件类型，机构类型，医院级别，入库类型、产品大类、血液品种类别代码、产品类别代码、血液产品代码、血型代码、rh血型与传染病检测结果代码、科别代码、输血疗效代码、输血方案代码表、手术类型代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获取供血单位</w:t>
            </w:r>
          </w:p>
        </w:tc>
        <w:tc>
          <w:tcPr>
            <w:tcW w:w="6800" w:type="dxa"/>
          </w:tcPr>
          <w:p>
            <w:pPr>
              <w:widowControl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医院系统从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绵阳市血液信息管理系统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中获取供血单位字典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获取血液产品</w:t>
            </w:r>
          </w:p>
        </w:tc>
        <w:tc>
          <w:tcPr>
            <w:tcW w:w="6800" w:type="dxa"/>
          </w:tcPr>
          <w:p>
            <w:pPr>
              <w:widowControl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医院系统从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中获取血液产品字典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获取血液规格</w:t>
            </w:r>
          </w:p>
        </w:tc>
        <w:tc>
          <w:tcPr>
            <w:tcW w:w="6800" w:type="dxa"/>
          </w:tcPr>
          <w:p>
            <w:pPr>
              <w:widowControl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医院系统从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中血液规格字典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获取血液品种</w:t>
            </w:r>
          </w:p>
        </w:tc>
        <w:tc>
          <w:tcPr>
            <w:tcW w:w="6800" w:type="dxa"/>
          </w:tcPr>
          <w:p>
            <w:pPr>
              <w:widowControl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医院系统从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中获取血液品种字典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获取附属品字典</w:t>
            </w:r>
          </w:p>
        </w:tc>
        <w:tc>
          <w:tcPr>
            <w:tcW w:w="6800" w:type="dxa"/>
          </w:tcPr>
          <w:p>
            <w:pPr>
              <w:widowControl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医院系统从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 w:bidi="ar"/>
              </w:rPr>
              <w:t>绵阳市血液信息管理系统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中获取附属品字典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 xml:space="preserve">获取血站发血单 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医院系统获取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的发血单信息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 xml:space="preserve">获取血站发血单后更新状态 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医院系统获取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的发血单信息后将是否成功的状态更新</w:t>
            </w:r>
            <w:r>
              <w:rPr>
                <w:rFonts w:hint="eastAsia" w:cs="宋体"/>
                <w:sz w:val="28"/>
                <w:szCs w:val="28"/>
                <w:lang w:val="en-US" w:eastAsia="zh-CN" w:bidi="ar"/>
              </w:rPr>
              <w:t>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联网退血</w:t>
            </w:r>
          </w:p>
        </w:tc>
        <w:tc>
          <w:tcPr>
            <w:tcW w:w="6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医院系统生成退血订单后将订单传入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绵阳市血液信息管理系统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，自动上传</w:t>
            </w:r>
          </w:p>
        </w:tc>
      </w:tr>
    </w:tbl>
    <w:p>
      <w:pPr>
        <w:widowControl/>
        <w:numPr>
          <w:ilvl w:val="0"/>
          <w:numId w:val="5"/>
        </w:numPr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商务及其他要求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1、成交供应商应对该项目的数据安全、数据质量、售后服务内容负责。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2、在项目实施过程中，采购人针对该项目的未尽事宜可以向成交供应商提出修正、增项、完善的要求，成交供应商须配合响应。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3、服务期限：自进场之日起</w:t>
      </w: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个工作日内完成。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 xml:space="preserve">    4、服务地点：指定地点。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5、履约、验收要求与标准：严格按照采购相关法律法规要求、文件要求、合同相关条款约定；验收由采购人组织验收。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6、款项支付方式、进度均合同约定。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★7、其他：投标人报价包含项目执行中的所有费用，医院不再另行支付其他任何费用。未尽事宜，合同双方约定为准。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750423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6"/>
            </w:pPr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F7FF7"/>
    <w:multiLevelType w:val="singleLevel"/>
    <w:tmpl w:val="A67F7FF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841D17"/>
    <w:multiLevelType w:val="multilevel"/>
    <w:tmpl w:val="10841D17"/>
    <w:lvl w:ilvl="0" w:tentative="0">
      <w:start w:val="1"/>
      <w:numFmt w:val="decimal"/>
      <w:lvlText w:val="%1"/>
      <w:lvlJc w:val="left"/>
      <w:pPr>
        <w:ind w:left="431" w:hanging="431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641" w:hanging="431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431" w:hanging="431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714" w:hanging="43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31" w:hanging="43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31" w:hanging="43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31" w:hanging="4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1" w:hanging="43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31" w:hanging="431"/>
      </w:pPr>
      <w:rPr>
        <w:rFonts w:hint="eastAsia"/>
      </w:rPr>
    </w:lvl>
  </w:abstractNum>
  <w:abstractNum w:abstractNumId="2">
    <w:nsid w:val="54F5036C"/>
    <w:multiLevelType w:val="multilevel"/>
    <w:tmpl w:val="54F5036C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E6C7887"/>
    <w:multiLevelType w:val="multilevel"/>
    <w:tmpl w:val="6E6C7887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1297070"/>
    <w:multiLevelType w:val="multilevel"/>
    <w:tmpl w:val="7129707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MTg0NzQ0YmI2OTZjOGJlZGZkNTAzYjYzY2NiNWUifQ=="/>
  </w:docVars>
  <w:rsids>
    <w:rsidRoot w:val="00B90FF3"/>
    <w:rsid w:val="0000107F"/>
    <w:rsid w:val="00005CF7"/>
    <w:rsid w:val="000B3134"/>
    <w:rsid w:val="00152CB4"/>
    <w:rsid w:val="001C1E65"/>
    <w:rsid w:val="001D2E7C"/>
    <w:rsid w:val="00234904"/>
    <w:rsid w:val="00383B9B"/>
    <w:rsid w:val="00392580"/>
    <w:rsid w:val="003A0E17"/>
    <w:rsid w:val="003A4D1D"/>
    <w:rsid w:val="003C5F24"/>
    <w:rsid w:val="00437576"/>
    <w:rsid w:val="004A39B6"/>
    <w:rsid w:val="004B32D6"/>
    <w:rsid w:val="00596E0A"/>
    <w:rsid w:val="005E4B97"/>
    <w:rsid w:val="0064140E"/>
    <w:rsid w:val="00662192"/>
    <w:rsid w:val="006C6FC5"/>
    <w:rsid w:val="006E5567"/>
    <w:rsid w:val="00700DEA"/>
    <w:rsid w:val="008A52DC"/>
    <w:rsid w:val="00900BF8"/>
    <w:rsid w:val="00932432"/>
    <w:rsid w:val="009D54AD"/>
    <w:rsid w:val="009F2775"/>
    <w:rsid w:val="009F4468"/>
    <w:rsid w:val="009F5EED"/>
    <w:rsid w:val="00A95BA7"/>
    <w:rsid w:val="00AA277A"/>
    <w:rsid w:val="00AA6727"/>
    <w:rsid w:val="00AB3CD8"/>
    <w:rsid w:val="00AC68A5"/>
    <w:rsid w:val="00AD1CD3"/>
    <w:rsid w:val="00B2681F"/>
    <w:rsid w:val="00B90FF3"/>
    <w:rsid w:val="00BD1F2F"/>
    <w:rsid w:val="00C86794"/>
    <w:rsid w:val="00C93420"/>
    <w:rsid w:val="00D05ED9"/>
    <w:rsid w:val="00D14723"/>
    <w:rsid w:val="00DC4EDB"/>
    <w:rsid w:val="00E07577"/>
    <w:rsid w:val="00F128B6"/>
    <w:rsid w:val="00FD597D"/>
    <w:rsid w:val="0C324B95"/>
    <w:rsid w:val="0F8D6B22"/>
    <w:rsid w:val="11CB596F"/>
    <w:rsid w:val="1DE105D3"/>
    <w:rsid w:val="1F673773"/>
    <w:rsid w:val="232C4AD1"/>
    <w:rsid w:val="35CD483A"/>
    <w:rsid w:val="38524547"/>
    <w:rsid w:val="38855EC9"/>
    <w:rsid w:val="4C4E4718"/>
    <w:rsid w:val="4D32758C"/>
    <w:rsid w:val="61541452"/>
    <w:rsid w:val="63D07307"/>
    <w:rsid w:val="69111F88"/>
    <w:rsid w:val="77D6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9"/>
    <w:pPr>
      <w:keepNext/>
      <w:keepLines/>
      <w:spacing w:before="260" w:after="260" w:line="520" w:lineRule="exact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/>
      <w:outlineLvl w:val="3"/>
    </w:pPr>
    <w:rPr>
      <w:rFonts w:ascii="Calibri" w:hAnsi="Calibri" w:cs="Calibri"/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  <w:ind w:left="400" w:leftChars="40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paragraph" w:styleId="13">
    <w:name w:val="List Paragraph"/>
    <w:basedOn w:val="1"/>
    <w:autoRedefine/>
    <w:qFormat/>
    <w:uiPriority w:val="34"/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rFonts w:ascii="宋体" w:hAnsi="宋体" w:cs="宋体"/>
      <w:kern w:val="2"/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  <w:spacing w:line="360" w:lineRule="auto"/>
      <w:ind w:firstLine="480" w:firstLineChars="20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EB5A-C196-41F2-9B55-0CBFCC942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837</Characters>
  <Lines>6</Lines>
  <Paragraphs>1</Paragraphs>
  <TotalTime>3</TotalTime>
  <ScaleCrop>false</ScaleCrop>
  <LinksUpToDate>false</LinksUpToDate>
  <CharactersWithSpaces>982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2023-12-28T05:41:00Z</dcterms:created>
  <dc:creator>tom</dc:creator>
  <cp:lastModifiedBy>江医罗玲15881637860</cp:lastModifiedBy>
  <cp:lastPrinted>2024-01-02T08:03:00Z</cp:lastPrinted>
  <dcterms:modified xsi:type="dcterms:W3CDTF">2024-01-05T07:31:59Z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C5BAFD7A70F843698CC12FE0E4CDF6E0_12</vt:lpwstr>
  </property>
</Properties>
</file>