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江油市人民医院</w:t>
      </w:r>
    </w:p>
    <w:p>
      <w:pPr>
        <w:spacing w:line="360" w:lineRule="auto"/>
        <w:jc w:val="center"/>
        <w:rPr>
          <w:b/>
          <w:sz w:val="32"/>
          <w:szCs w:val="32"/>
        </w:rPr>
      </w:pPr>
      <w:r>
        <w:rPr>
          <w:rFonts w:hint="eastAsia"/>
          <w:b/>
          <w:sz w:val="32"/>
          <w:szCs w:val="32"/>
        </w:rPr>
        <w:t>甲基化检测服务外送项目采购需求</w:t>
      </w:r>
    </w:p>
    <w:p>
      <w:pPr>
        <w:spacing w:line="360" w:lineRule="auto"/>
        <w:rPr>
          <w:b/>
          <w:sz w:val="24"/>
          <w:szCs w:val="24"/>
        </w:rPr>
      </w:pPr>
      <w:r>
        <w:rPr>
          <w:rFonts w:hint="eastAsia"/>
          <w:b/>
          <w:sz w:val="24"/>
          <w:szCs w:val="24"/>
        </w:rPr>
        <w:t>一、项目名称、数量、预算金额(可以列清单):</w:t>
      </w:r>
    </w:p>
    <w:tbl>
      <w:tblPr>
        <w:tblStyle w:val="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736" w:type="dxa"/>
            <w:vAlign w:val="center"/>
          </w:tcPr>
          <w:p>
            <w:pPr>
              <w:spacing w:line="360" w:lineRule="auto"/>
              <w:ind w:left="-45"/>
              <w:jc w:val="center"/>
              <w:rPr>
                <w:szCs w:val="21"/>
              </w:rPr>
            </w:pPr>
            <w:r>
              <w:rPr>
                <w:rFonts w:hint="eastAsia"/>
                <w:szCs w:val="21"/>
              </w:rPr>
              <w:t>货物名称</w:t>
            </w:r>
          </w:p>
        </w:tc>
        <w:tc>
          <w:tcPr>
            <w:tcW w:w="2163" w:type="dxa"/>
            <w:vAlign w:val="center"/>
          </w:tcPr>
          <w:p>
            <w:pPr>
              <w:spacing w:line="360" w:lineRule="auto"/>
              <w:ind w:left="-45"/>
              <w:jc w:val="center"/>
              <w:rPr>
                <w:szCs w:val="21"/>
              </w:rPr>
            </w:pPr>
            <w:r>
              <w:rPr>
                <w:rFonts w:hint="eastAsia"/>
                <w:szCs w:val="21"/>
              </w:rPr>
              <w:t>预算金额（万元）</w:t>
            </w:r>
          </w:p>
        </w:tc>
        <w:tc>
          <w:tcPr>
            <w:tcW w:w="2163" w:type="dxa"/>
            <w:vAlign w:val="center"/>
          </w:tcPr>
          <w:p>
            <w:pPr>
              <w:spacing w:line="360" w:lineRule="auto"/>
              <w:ind w:left="-45"/>
              <w:jc w:val="center"/>
              <w:rPr>
                <w:rFonts w:hint="default" w:eastAsiaTheme="minorEastAsia"/>
                <w:szCs w:val="21"/>
                <w:lang w:val="en-US" w:eastAsia="zh-CN"/>
              </w:rPr>
            </w:pPr>
            <w:r>
              <w:rPr>
                <w:rFonts w:hint="eastAsia"/>
                <w:szCs w:val="21"/>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736" w:type="dxa"/>
            <w:vAlign w:val="center"/>
          </w:tcPr>
          <w:p>
            <w:pPr>
              <w:spacing w:line="360" w:lineRule="exact"/>
              <w:jc w:val="center"/>
              <w:rPr>
                <w:rFonts w:ascii="Times New Roman" w:hAnsi="Times New Roman" w:eastAsia="仿宋_GB2312" w:cs="Times New Roman"/>
                <w:sz w:val="28"/>
                <w:szCs w:val="28"/>
              </w:rPr>
            </w:pPr>
            <w:r>
              <w:rPr>
                <w:rFonts w:eastAsia="仿宋_GB2312"/>
                <w:sz w:val="28"/>
                <w:szCs w:val="28"/>
              </w:rPr>
              <w:t>甲基化检测</w:t>
            </w:r>
            <w:r>
              <w:rPr>
                <w:rFonts w:hint="eastAsia" w:eastAsia="仿宋_GB2312"/>
                <w:sz w:val="28"/>
                <w:szCs w:val="28"/>
              </w:rPr>
              <w:t>服务外送项目</w:t>
            </w:r>
          </w:p>
        </w:tc>
        <w:tc>
          <w:tcPr>
            <w:tcW w:w="2163" w:type="dxa"/>
            <w:vAlign w:val="center"/>
          </w:tcPr>
          <w:p>
            <w:pPr>
              <w:spacing w:line="360" w:lineRule="auto"/>
              <w:ind w:left="-45"/>
              <w:jc w:val="center"/>
              <w:rPr>
                <w:szCs w:val="21"/>
              </w:rPr>
            </w:pPr>
            <w:r>
              <w:rPr>
                <w:rFonts w:hint="eastAsia"/>
                <w:szCs w:val="21"/>
              </w:rPr>
              <w:t>20</w:t>
            </w:r>
          </w:p>
        </w:tc>
        <w:tc>
          <w:tcPr>
            <w:tcW w:w="2163" w:type="dxa"/>
            <w:vAlign w:val="center"/>
          </w:tcPr>
          <w:p>
            <w:pPr>
              <w:spacing w:line="360" w:lineRule="auto"/>
              <w:ind w:left="-45"/>
              <w:jc w:val="center"/>
              <w:rPr>
                <w:rFonts w:hint="default" w:eastAsiaTheme="minorEastAsia"/>
                <w:szCs w:val="21"/>
                <w:lang w:val="en-US" w:eastAsia="zh-CN"/>
              </w:rPr>
            </w:pPr>
            <w:r>
              <w:rPr>
                <w:rFonts w:hint="eastAsia"/>
                <w:szCs w:val="21"/>
                <w:lang w:val="en-US" w:eastAsia="zh-CN"/>
              </w:rPr>
              <w:t>1年</w:t>
            </w:r>
          </w:p>
        </w:tc>
      </w:tr>
    </w:tbl>
    <w:p>
      <w:pPr>
        <w:spacing w:line="360" w:lineRule="auto"/>
        <w:rPr>
          <w:sz w:val="24"/>
          <w:szCs w:val="24"/>
        </w:rPr>
      </w:pPr>
      <w:r>
        <w:rPr>
          <w:rFonts w:hint="eastAsia"/>
          <w:b/>
          <w:sz w:val="24"/>
          <w:szCs w:val="24"/>
        </w:rPr>
        <w:t>二、项目类型：</w:t>
      </w:r>
      <w:r>
        <w:rPr>
          <w:rFonts w:hint="eastAsia"/>
          <w:sz w:val="24"/>
          <w:szCs w:val="24"/>
        </w:rPr>
        <w:t>服务类</w:t>
      </w:r>
    </w:p>
    <w:p>
      <w:pPr>
        <w:spacing w:line="360" w:lineRule="auto"/>
        <w:rPr>
          <w:sz w:val="24"/>
          <w:szCs w:val="24"/>
        </w:rPr>
      </w:pPr>
      <w:r>
        <w:rPr>
          <w:rFonts w:hint="eastAsia"/>
          <w:b/>
          <w:sz w:val="24"/>
          <w:szCs w:val="24"/>
        </w:rPr>
        <w:t>三、拟用采购方式及评审方法:</w:t>
      </w:r>
      <w:r>
        <w:rPr>
          <w:rFonts w:hint="eastAsia"/>
          <w:sz w:val="24"/>
          <w:szCs w:val="24"/>
        </w:rPr>
        <w:t>竞争性磋商(综合评分法)</w:t>
      </w:r>
    </w:p>
    <w:p>
      <w:pPr>
        <w:spacing w:line="360" w:lineRule="auto"/>
        <w:rPr>
          <w:b/>
          <w:sz w:val="24"/>
          <w:szCs w:val="24"/>
        </w:rPr>
      </w:pPr>
      <w:r>
        <w:rPr>
          <w:rFonts w:hint="eastAsia"/>
          <w:b/>
          <w:sz w:val="24"/>
          <w:szCs w:val="24"/>
        </w:rPr>
        <w:t>四、资格条件:</w:t>
      </w:r>
    </w:p>
    <w:p>
      <w:pPr>
        <w:spacing w:line="360" w:lineRule="auto"/>
        <w:rPr>
          <w:sz w:val="24"/>
          <w:szCs w:val="24"/>
        </w:rPr>
      </w:pPr>
      <w:r>
        <w:rPr>
          <w:rFonts w:hint="eastAsia"/>
          <w:sz w:val="24"/>
          <w:szCs w:val="24"/>
        </w:rPr>
        <w:t>1.具有独立承担民事责任的能力；</w:t>
      </w:r>
    </w:p>
    <w:p>
      <w:pPr>
        <w:spacing w:line="360" w:lineRule="auto"/>
        <w:rPr>
          <w:sz w:val="24"/>
          <w:szCs w:val="24"/>
        </w:rPr>
      </w:pPr>
      <w:r>
        <w:rPr>
          <w:rFonts w:hint="eastAsia"/>
          <w:sz w:val="24"/>
          <w:szCs w:val="24"/>
        </w:rPr>
        <w:t>2.具有良好的商业信誉和健全的财务会计制度；</w:t>
      </w:r>
    </w:p>
    <w:p>
      <w:pPr>
        <w:spacing w:line="360" w:lineRule="auto"/>
        <w:rPr>
          <w:sz w:val="24"/>
          <w:szCs w:val="24"/>
        </w:rPr>
      </w:pPr>
      <w:r>
        <w:rPr>
          <w:rFonts w:hint="eastAsia"/>
          <w:sz w:val="24"/>
          <w:szCs w:val="24"/>
        </w:rPr>
        <w:t>3.具有履行合同所必须的设备和专业技术能力；</w:t>
      </w:r>
    </w:p>
    <w:p>
      <w:pPr>
        <w:spacing w:line="360" w:lineRule="auto"/>
        <w:rPr>
          <w:sz w:val="24"/>
          <w:szCs w:val="24"/>
        </w:rPr>
      </w:pPr>
      <w:r>
        <w:rPr>
          <w:rFonts w:hint="eastAsia"/>
          <w:sz w:val="24"/>
          <w:szCs w:val="24"/>
        </w:rPr>
        <w:t>4.具有依法缴纳税收和社会保障资金的良好记录；</w:t>
      </w:r>
    </w:p>
    <w:p>
      <w:pPr>
        <w:spacing w:line="360" w:lineRule="auto"/>
        <w:rPr>
          <w:sz w:val="24"/>
          <w:szCs w:val="24"/>
        </w:rPr>
      </w:pPr>
      <w:r>
        <w:rPr>
          <w:rFonts w:hint="eastAsia"/>
          <w:sz w:val="24"/>
          <w:szCs w:val="24"/>
        </w:rPr>
        <w:t>5.参加本次政府采购活动前三年内，在经营活动中没有重大违法记录；</w:t>
      </w:r>
    </w:p>
    <w:p>
      <w:pPr>
        <w:spacing w:line="360" w:lineRule="auto"/>
        <w:rPr>
          <w:sz w:val="24"/>
          <w:szCs w:val="24"/>
        </w:rPr>
      </w:pPr>
      <w:r>
        <w:rPr>
          <w:rFonts w:hint="eastAsia"/>
          <w:sz w:val="24"/>
          <w:szCs w:val="24"/>
        </w:rPr>
        <w:t>6.法律、行政法规规定的其他条件；</w:t>
      </w:r>
    </w:p>
    <w:p>
      <w:pPr>
        <w:spacing w:line="360" w:lineRule="auto"/>
        <w:rPr>
          <w:sz w:val="24"/>
          <w:szCs w:val="24"/>
        </w:rPr>
      </w:pPr>
      <w:r>
        <w:rPr>
          <w:rFonts w:hint="eastAsia"/>
          <w:sz w:val="24"/>
          <w:szCs w:val="24"/>
        </w:rPr>
        <w:t>7.本项目不接受联合体磋商。</w:t>
      </w:r>
    </w:p>
    <w:p>
      <w:pPr>
        <w:spacing w:line="360" w:lineRule="auto"/>
        <w:rPr>
          <w:b/>
          <w:sz w:val="24"/>
          <w:szCs w:val="24"/>
        </w:rPr>
      </w:pPr>
      <w:r>
        <w:rPr>
          <w:rFonts w:hint="eastAsia" w:asciiTheme="minorEastAsia" w:hAnsiTheme="minorEastAsia"/>
          <w:b/>
          <w:sz w:val="24"/>
          <w:szCs w:val="24"/>
        </w:rPr>
        <w:t>★</w:t>
      </w:r>
      <w:r>
        <w:rPr>
          <w:rFonts w:hint="eastAsia"/>
          <w:b/>
          <w:sz w:val="24"/>
          <w:szCs w:val="24"/>
        </w:rPr>
        <w:t>五、技术参数、要求:</w:t>
      </w:r>
    </w:p>
    <w:p>
      <w:pPr>
        <w:pStyle w:val="9"/>
        <w:numPr>
          <w:ilvl w:val="0"/>
          <w:numId w:val="1"/>
        </w:numPr>
        <w:spacing w:line="360" w:lineRule="auto"/>
        <w:ind w:firstLineChars="0"/>
        <w:rPr>
          <w:b/>
          <w:sz w:val="24"/>
          <w:szCs w:val="24"/>
        </w:rPr>
      </w:pPr>
      <w:r>
        <w:rPr>
          <w:rFonts w:hint="eastAsia"/>
          <w:b/>
          <w:sz w:val="24"/>
          <w:szCs w:val="24"/>
        </w:rPr>
        <w:t>检测项目清单</w:t>
      </w:r>
    </w:p>
    <w:tbl>
      <w:tblPr>
        <w:tblStyle w:val="6"/>
        <w:tblW w:w="10671"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4724"/>
        <w:gridCol w:w="1339"/>
        <w:gridCol w:w="1202"/>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tcPr>
          <w:p>
            <w:pPr>
              <w:spacing w:line="360" w:lineRule="auto"/>
              <w:ind w:left="-45"/>
              <w:jc w:val="center"/>
              <w:rPr>
                <w:sz w:val="24"/>
                <w:szCs w:val="24"/>
              </w:rPr>
            </w:pPr>
            <w:r>
              <w:rPr>
                <w:sz w:val="24"/>
                <w:szCs w:val="24"/>
              </w:rPr>
              <w:t>序号</w:t>
            </w:r>
            <w:r>
              <w:rPr>
                <w:sz w:val="24"/>
                <w:szCs w:val="24"/>
              </w:rPr>
              <w:br w:type="page"/>
            </w:r>
          </w:p>
        </w:tc>
        <w:tc>
          <w:tcPr>
            <w:tcW w:w="4724" w:type="dxa"/>
          </w:tcPr>
          <w:p>
            <w:pPr>
              <w:spacing w:line="360" w:lineRule="auto"/>
              <w:jc w:val="center"/>
              <w:rPr>
                <w:sz w:val="24"/>
                <w:szCs w:val="24"/>
              </w:rPr>
            </w:pPr>
            <w:r>
              <w:rPr>
                <w:sz w:val="24"/>
                <w:szCs w:val="24"/>
              </w:rPr>
              <w:t>项目</w:t>
            </w:r>
          </w:p>
        </w:tc>
        <w:tc>
          <w:tcPr>
            <w:tcW w:w="1339" w:type="dxa"/>
          </w:tcPr>
          <w:p>
            <w:pPr>
              <w:spacing w:line="360" w:lineRule="auto"/>
              <w:rPr>
                <w:sz w:val="24"/>
                <w:szCs w:val="24"/>
              </w:rPr>
            </w:pPr>
            <w:r>
              <w:rPr>
                <w:rFonts w:hint="eastAsia"/>
                <w:sz w:val="24"/>
                <w:szCs w:val="24"/>
              </w:rPr>
              <w:t>例</w:t>
            </w:r>
          </w:p>
        </w:tc>
        <w:tc>
          <w:tcPr>
            <w:tcW w:w="1202" w:type="dxa"/>
          </w:tcPr>
          <w:p>
            <w:pPr>
              <w:spacing w:line="360" w:lineRule="auto"/>
              <w:jc w:val="left"/>
              <w:rPr>
                <w:sz w:val="24"/>
                <w:szCs w:val="24"/>
              </w:rPr>
            </w:pPr>
            <w:r>
              <w:rPr>
                <w:sz w:val="24"/>
                <w:szCs w:val="24"/>
              </w:rPr>
              <w:t>单价限价</w:t>
            </w:r>
            <w:r>
              <w:rPr>
                <w:rFonts w:hint="eastAsia"/>
                <w:sz w:val="24"/>
                <w:szCs w:val="24"/>
              </w:rPr>
              <w:t>（元/例）</w:t>
            </w:r>
          </w:p>
        </w:tc>
        <w:tc>
          <w:tcPr>
            <w:tcW w:w="2851" w:type="dxa"/>
          </w:tcPr>
          <w:p>
            <w:pPr>
              <w:spacing w:line="360" w:lineRule="auto"/>
              <w:rPr>
                <w:sz w:val="24"/>
                <w:szCs w:val="24"/>
              </w:rPr>
            </w:pPr>
          </w:p>
          <w:p>
            <w:pPr>
              <w:spacing w:line="360" w:lineRule="auto"/>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tcPr>
          <w:p>
            <w:pPr>
              <w:spacing w:line="360" w:lineRule="auto"/>
              <w:ind w:left="-45"/>
              <w:jc w:val="center"/>
              <w:rPr>
                <w:sz w:val="24"/>
                <w:szCs w:val="24"/>
              </w:rPr>
            </w:pPr>
            <w:r>
              <w:rPr>
                <w:rFonts w:hint="eastAsia"/>
                <w:sz w:val="24"/>
                <w:szCs w:val="24"/>
              </w:rPr>
              <w:t>1</w:t>
            </w:r>
          </w:p>
        </w:tc>
        <w:tc>
          <w:tcPr>
            <w:tcW w:w="4724" w:type="dxa"/>
            <w:vAlign w:val="center"/>
          </w:tcPr>
          <w:p>
            <w:pPr>
              <w:spacing w:line="360" w:lineRule="exact"/>
              <w:jc w:val="center"/>
              <w:rPr>
                <w:rFonts w:ascii="Times New Roman" w:hAnsi="Times New Roman" w:eastAsia="仿宋_GB2312" w:cs="Times New Roman"/>
                <w:sz w:val="28"/>
                <w:szCs w:val="28"/>
              </w:rPr>
            </w:pPr>
            <w:r>
              <w:rPr>
                <w:rFonts w:hint="eastAsia" w:eastAsia="仿宋_GB2312"/>
                <w:sz w:val="28"/>
                <w:szCs w:val="28"/>
              </w:rPr>
              <w:t>肝</w:t>
            </w:r>
            <w:r>
              <w:rPr>
                <w:rFonts w:eastAsia="仿宋_GB2312"/>
                <w:sz w:val="28"/>
                <w:szCs w:val="28"/>
              </w:rPr>
              <w:t>癌</w:t>
            </w:r>
            <w:r>
              <w:rPr>
                <w:rFonts w:hint="eastAsia" w:eastAsia="仿宋_GB2312"/>
                <w:sz w:val="28"/>
                <w:szCs w:val="28"/>
              </w:rPr>
              <w:t>5项</w:t>
            </w:r>
            <w:r>
              <w:rPr>
                <w:rFonts w:eastAsia="仿宋_GB2312"/>
                <w:sz w:val="28"/>
                <w:szCs w:val="28"/>
              </w:rPr>
              <w:t>基因甲基化检测</w:t>
            </w:r>
          </w:p>
        </w:tc>
        <w:tc>
          <w:tcPr>
            <w:tcW w:w="1339" w:type="dxa"/>
          </w:tcPr>
          <w:p>
            <w:pPr>
              <w:spacing w:line="360" w:lineRule="auto"/>
              <w:jc w:val="center"/>
              <w:rPr>
                <w:sz w:val="24"/>
                <w:szCs w:val="24"/>
              </w:rPr>
            </w:pPr>
            <w:r>
              <w:rPr>
                <w:rFonts w:hint="eastAsia"/>
                <w:sz w:val="24"/>
                <w:szCs w:val="24"/>
              </w:rPr>
              <w:t>1</w:t>
            </w:r>
          </w:p>
        </w:tc>
        <w:tc>
          <w:tcPr>
            <w:tcW w:w="1202" w:type="dxa"/>
            <w:vAlign w:val="center"/>
          </w:tcPr>
          <w:p>
            <w:pPr>
              <w:spacing w:line="360" w:lineRule="exact"/>
              <w:jc w:val="center"/>
              <w:rPr>
                <w:rFonts w:ascii="Times New Roman" w:hAnsi="Times New Roman" w:eastAsia="仿宋_GB2312" w:cs="Times New Roman"/>
                <w:sz w:val="28"/>
                <w:szCs w:val="28"/>
              </w:rPr>
            </w:pPr>
            <w:r>
              <w:rPr>
                <w:rFonts w:hint="eastAsia" w:eastAsia="仿宋_GB2312"/>
                <w:sz w:val="28"/>
                <w:szCs w:val="28"/>
              </w:rPr>
              <w:t>1600</w:t>
            </w:r>
          </w:p>
        </w:tc>
        <w:tc>
          <w:tcPr>
            <w:tcW w:w="2851" w:type="dxa"/>
          </w:tcPr>
          <w:p>
            <w:pPr>
              <w:spacing w:line="360" w:lineRule="auto"/>
              <w:ind w:left="-45"/>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tcPr>
          <w:p>
            <w:pPr>
              <w:spacing w:line="360" w:lineRule="auto"/>
              <w:jc w:val="center"/>
              <w:rPr>
                <w:sz w:val="24"/>
                <w:szCs w:val="24"/>
              </w:rPr>
            </w:pPr>
            <w:r>
              <w:rPr>
                <w:rFonts w:hint="eastAsia"/>
                <w:sz w:val="24"/>
                <w:szCs w:val="24"/>
              </w:rPr>
              <w:t>2</w:t>
            </w:r>
          </w:p>
        </w:tc>
        <w:tc>
          <w:tcPr>
            <w:tcW w:w="4724" w:type="dxa"/>
            <w:vAlign w:val="center"/>
          </w:tcPr>
          <w:p>
            <w:pPr>
              <w:spacing w:line="360" w:lineRule="exact"/>
              <w:jc w:val="center"/>
              <w:rPr>
                <w:rFonts w:ascii="Times New Roman" w:hAnsi="Times New Roman" w:eastAsia="仿宋_GB2312" w:cs="Times New Roman"/>
                <w:sz w:val="28"/>
                <w:szCs w:val="28"/>
              </w:rPr>
            </w:pPr>
            <w:r>
              <w:rPr>
                <w:rFonts w:eastAsia="仿宋_GB2312"/>
                <w:sz w:val="28"/>
                <w:szCs w:val="28"/>
              </w:rPr>
              <w:t>胃癌</w:t>
            </w:r>
            <w:r>
              <w:rPr>
                <w:rFonts w:hint="eastAsia" w:eastAsia="仿宋_GB2312"/>
                <w:sz w:val="28"/>
                <w:szCs w:val="28"/>
              </w:rPr>
              <w:t>4项</w:t>
            </w:r>
            <w:r>
              <w:rPr>
                <w:rFonts w:eastAsia="仿宋_GB2312"/>
                <w:sz w:val="28"/>
                <w:szCs w:val="28"/>
              </w:rPr>
              <w:t>基因甲基化检测</w:t>
            </w:r>
          </w:p>
        </w:tc>
        <w:tc>
          <w:tcPr>
            <w:tcW w:w="1339" w:type="dxa"/>
          </w:tcPr>
          <w:p>
            <w:pPr>
              <w:spacing w:line="360" w:lineRule="auto"/>
              <w:jc w:val="center"/>
              <w:rPr>
                <w:sz w:val="24"/>
                <w:szCs w:val="24"/>
              </w:rPr>
            </w:pPr>
            <w:r>
              <w:rPr>
                <w:rFonts w:hint="eastAsia"/>
                <w:sz w:val="24"/>
                <w:szCs w:val="24"/>
              </w:rPr>
              <w:t>1</w:t>
            </w:r>
          </w:p>
        </w:tc>
        <w:tc>
          <w:tcPr>
            <w:tcW w:w="1202" w:type="dxa"/>
            <w:vAlign w:val="center"/>
          </w:tcPr>
          <w:p>
            <w:pPr>
              <w:spacing w:line="360" w:lineRule="exact"/>
              <w:jc w:val="center"/>
              <w:rPr>
                <w:rFonts w:ascii="Times New Roman" w:hAnsi="Times New Roman" w:eastAsia="仿宋_GB2312" w:cs="Times New Roman"/>
                <w:sz w:val="28"/>
                <w:szCs w:val="28"/>
              </w:rPr>
            </w:pPr>
            <w:r>
              <w:rPr>
                <w:rFonts w:hint="eastAsia" w:eastAsia="仿宋_GB2312"/>
                <w:sz w:val="28"/>
                <w:szCs w:val="28"/>
              </w:rPr>
              <w:t>1280</w:t>
            </w:r>
          </w:p>
        </w:tc>
        <w:tc>
          <w:tcPr>
            <w:tcW w:w="2851" w:type="dxa"/>
          </w:tcPr>
          <w:p>
            <w:pPr>
              <w:spacing w:line="360" w:lineRule="auto"/>
              <w:ind w:left="-4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tcPr>
          <w:p>
            <w:pPr>
              <w:spacing w:line="360" w:lineRule="auto"/>
              <w:jc w:val="center"/>
              <w:rPr>
                <w:sz w:val="24"/>
                <w:szCs w:val="24"/>
              </w:rPr>
            </w:pPr>
            <w:r>
              <w:rPr>
                <w:rFonts w:hint="eastAsia"/>
                <w:sz w:val="24"/>
                <w:szCs w:val="24"/>
              </w:rPr>
              <w:t>3</w:t>
            </w:r>
          </w:p>
        </w:tc>
        <w:tc>
          <w:tcPr>
            <w:tcW w:w="4724" w:type="dxa"/>
            <w:vAlign w:val="center"/>
          </w:tcPr>
          <w:p>
            <w:pPr>
              <w:spacing w:line="360" w:lineRule="exact"/>
              <w:jc w:val="center"/>
              <w:rPr>
                <w:rFonts w:ascii="Times New Roman" w:hAnsi="Times New Roman" w:eastAsia="仿宋_GB2312" w:cs="Times New Roman"/>
                <w:sz w:val="28"/>
                <w:szCs w:val="28"/>
                <w:u w:val="single"/>
              </w:rPr>
            </w:pPr>
            <w:r>
              <w:rPr>
                <w:rFonts w:eastAsia="仿宋_GB2312"/>
                <w:sz w:val="28"/>
                <w:szCs w:val="28"/>
              </w:rPr>
              <w:t>宫颈癌PAX1基因</w:t>
            </w:r>
            <w:r>
              <w:rPr>
                <w:rFonts w:hint="eastAsia" w:eastAsia="仿宋_GB2312"/>
                <w:sz w:val="28"/>
                <w:szCs w:val="28"/>
              </w:rPr>
              <w:t>7项</w:t>
            </w:r>
            <w:r>
              <w:rPr>
                <w:rFonts w:eastAsia="仿宋_GB2312"/>
                <w:sz w:val="28"/>
                <w:szCs w:val="28"/>
              </w:rPr>
              <w:t>甲基化检测</w:t>
            </w:r>
          </w:p>
        </w:tc>
        <w:tc>
          <w:tcPr>
            <w:tcW w:w="1339" w:type="dxa"/>
          </w:tcPr>
          <w:p>
            <w:pPr>
              <w:spacing w:line="360" w:lineRule="auto"/>
              <w:jc w:val="center"/>
              <w:rPr>
                <w:sz w:val="24"/>
                <w:szCs w:val="24"/>
              </w:rPr>
            </w:pPr>
            <w:r>
              <w:rPr>
                <w:rFonts w:hint="eastAsia"/>
                <w:sz w:val="24"/>
                <w:szCs w:val="24"/>
              </w:rPr>
              <w:t>1</w:t>
            </w:r>
          </w:p>
        </w:tc>
        <w:tc>
          <w:tcPr>
            <w:tcW w:w="1202" w:type="dxa"/>
            <w:vAlign w:val="center"/>
          </w:tcPr>
          <w:p>
            <w:pPr>
              <w:spacing w:line="360" w:lineRule="exact"/>
              <w:jc w:val="center"/>
              <w:rPr>
                <w:rFonts w:ascii="Times New Roman" w:hAnsi="Times New Roman" w:eastAsia="仿宋_GB2312" w:cs="Times New Roman"/>
                <w:sz w:val="28"/>
                <w:szCs w:val="28"/>
              </w:rPr>
            </w:pPr>
            <w:r>
              <w:rPr>
                <w:rFonts w:eastAsia="仿宋_GB2312"/>
                <w:sz w:val="28"/>
                <w:szCs w:val="28"/>
              </w:rPr>
              <w:t>2240</w:t>
            </w:r>
          </w:p>
        </w:tc>
        <w:tc>
          <w:tcPr>
            <w:tcW w:w="2851" w:type="dxa"/>
          </w:tcPr>
          <w:p>
            <w:pPr>
              <w:spacing w:line="360" w:lineRule="auto"/>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55" w:type="dxa"/>
          </w:tcPr>
          <w:p>
            <w:pPr>
              <w:spacing w:line="360" w:lineRule="auto"/>
              <w:ind w:left="-45"/>
              <w:jc w:val="center"/>
              <w:rPr>
                <w:sz w:val="24"/>
                <w:szCs w:val="24"/>
              </w:rPr>
            </w:pPr>
            <w:r>
              <w:rPr>
                <w:rFonts w:hint="eastAsia"/>
                <w:sz w:val="24"/>
                <w:szCs w:val="24"/>
              </w:rPr>
              <w:t>4</w:t>
            </w:r>
          </w:p>
        </w:tc>
        <w:tc>
          <w:tcPr>
            <w:tcW w:w="4724" w:type="dxa"/>
            <w:vAlign w:val="center"/>
          </w:tcPr>
          <w:p>
            <w:pPr>
              <w:spacing w:line="360" w:lineRule="exact"/>
              <w:jc w:val="center"/>
              <w:rPr>
                <w:rFonts w:eastAsia="仿宋_GB2312"/>
                <w:sz w:val="28"/>
                <w:szCs w:val="28"/>
              </w:rPr>
            </w:pPr>
            <w:r>
              <w:rPr>
                <w:rFonts w:eastAsia="仿宋_GB2312"/>
                <w:sz w:val="28"/>
                <w:szCs w:val="28"/>
              </w:rPr>
              <w:t>肠癌基因</w:t>
            </w:r>
            <w:r>
              <w:rPr>
                <w:rFonts w:hint="eastAsia" w:eastAsia="仿宋_GB2312"/>
                <w:sz w:val="28"/>
                <w:szCs w:val="28"/>
              </w:rPr>
              <w:t>4项</w:t>
            </w:r>
            <w:r>
              <w:rPr>
                <w:rFonts w:eastAsia="仿宋_GB2312"/>
                <w:sz w:val="28"/>
                <w:szCs w:val="28"/>
              </w:rPr>
              <w:t>甲基化检测</w:t>
            </w:r>
          </w:p>
        </w:tc>
        <w:tc>
          <w:tcPr>
            <w:tcW w:w="1339" w:type="dxa"/>
          </w:tcPr>
          <w:p>
            <w:pPr>
              <w:spacing w:line="360" w:lineRule="auto"/>
              <w:jc w:val="center"/>
              <w:rPr>
                <w:sz w:val="24"/>
                <w:szCs w:val="24"/>
              </w:rPr>
            </w:pPr>
            <w:r>
              <w:rPr>
                <w:rFonts w:hint="eastAsia"/>
                <w:sz w:val="24"/>
                <w:szCs w:val="24"/>
              </w:rPr>
              <w:t>1</w:t>
            </w:r>
          </w:p>
        </w:tc>
        <w:tc>
          <w:tcPr>
            <w:tcW w:w="1202" w:type="dxa"/>
            <w:vAlign w:val="center"/>
          </w:tcPr>
          <w:p>
            <w:pPr>
              <w:spacing w:line="360" w:lineRule="exact"/>
              <w:jc w:val="center"/>
              <w:rPr>
                <w:rFonts w:eastAsia="仿宋_GB2312"/>
                <w:sz w:val="28"/>
                <w:szCs w:val="28"/>
              </w:rPr>
            </w:pPr>
            <w:r>
              <w:rPr>
                <w:rFonts w:hint="eastAsia" w:eastAsia="仿宋_GB2312"/>
                <w:sz w:val="28"/>
                <w:szCs w:val="28"/>
              </w:rPr>
              <w:t>1280</w:t>
            </w:r>
          </w:p>
        </w:tc>
        <w:tc>
          <w:tcPr>
            <w:tcW w:w="2851" w:type="dxa"/>
          </w:tcPr>
          <w:p>
            <w:pPr>
              <w:spacing w:line="360" w:lineRule="auto"/>
              <w:ind w:left="-45"/>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55" w:type="dxa"/>
          </w:tcPr>
          <w:p>
            <w:pPr>
              <w:spacing w:line="360" w:lineRule="auto"/>
              <w:ind w:left="-45"/>
              <w:jc w:val="center"/>
              <w:rPr>
                <w:sz w:val="24"/>
                <w:szCs w:val="24"/>
              </w:rPr>
            </w:pPr>
            <w:r>
              <w:rPr>
                <w:rFonts w:hint="eastAsia"/>
                <w:sz w:val="24"/>
                <w:szCs w:val="24"/>
              </w:rPr>
              <w:t>5</w:t>
            </w:r>
          </w:p>
        </w:tc>
        <w:tc>
          <w:tcPr>
            <w:tcW w:w="4724" w:type="dxa"/>
            <w:vAlign w:val="center"/>
          </w:tcPr>
          <w:p>
            <w:pPr>
              <w:spacing w:line="360" w:lineRule="exact"/>
              <w:jc w:val="center"/>
              <w:rPr>
                <w:rFonts w:eastAsia="仿宋_GB2312"/>
                <w:sz w:val="28"/>
                <w:szCs w:val="28"/>
              </w:rPr>
            </w:pPr>
            <w:r>
              <w:rPr>
                <w:rFonts w:hint="eastAsia" w:eastAsia="仿宋_GB2312"/>
                <w:sz w:val="28"/>
                <w:szCs w:val="28"/>
              </w:rPr>
              <w:t>肺</w:t>
            </w:r>
            <w:r>
              <w:rPr>
                <w:rFonts w:eastAsia="仿宋_GB2312"/>
                <w:sz w:val="28"/>
                <w:szCs w:val="28"/>
              </w:rPr>
              <w:t>癌基因</w:t>
            </w:r>
            <w:r>
              <w:rPr>
                <w:rFonts w:hint="eastAsia" w:eastAsia="仿宋_GB2312"/>
                <w:sz w:val="28"/>
                <w:szCs w:val="28"/>
              </w:rPr>
              <w:t>6项</w:t>
            </w:r>
            <w:r>
              <w:rPr>
                <w:rFonts w:eastAsia="仿宋_GB2312"/>
                <w:sz w:val="28"/>
                <w:szCs w:val="28"/>
              </w:rPr>
              <w:t>甲基化检测</w:t>
            </w:r>
          </w:p>
        </w:tc>
        <w:tc>
          <w:tcPr>
            <w:tcW w:w="1339" w:type="dxa"/>
          </w:tcPr>
          <w:p>
            <w:pPr>
              <w:spacing w:line="360" w:lineRule="auto"/>
              <w:ind w:left="-45"/>
              <w:jc w:val="center"/>
              <w:rPr>
                <w:sz w:val="24"/>
                <w:szCs w:val="24"/>
              </w:rPr>
            </w:pPr>
            <w:r>
              <w:rPr>
                <w:rFonts w:hint="eastAsia"/>
                <w:sz w:val="24"/>
                <w:szCs w:val="24"/>
              </w:rPr>
              <w:t>1</w:t>
            </w:r>
          </w:p>
        </w:tc>
        <w:tc>
          <w:tcPr>
            <w:tcW w:w="1202" w:type="dxa"/>
            <w:vAlign w:val="center"/>
          </w:tcPr>
          <w:p>
            <w:pPr>
              <w:spacing w:line="360" w:lineRule="exact"/>
              <w:jc w:val="center"/>
              <w:rPr>
                <w:rFonts w:eastAsia="仿宋_GB2312"/>
                <w:sz w:val="28"/>
                <w:szCs w:val="28"/>
              </w:rPr>
            </w:pPr>
            <w:r>
              <w:rPr>
                <w:rFonts w:hint="eastAsia" w:eastAsia="仿宋_GB2312"/>
                <w:sz w:val="28"/>
                <w:szCs w:val="28"/>
              </w:rPr>
              <w:t>1920</w:t>
            </w:r>
          </w:p>
        </w:tc>
        <w:tc>
          <w:tcPr>
            <w:tcW w:w="2851" w:type="dxa"/>
          </w:tcPr>
          <w:p>
            <w:pPr>
              <w:spacing w:line="360" w:lineRule="auto"/>
              <w:ind w:left="-4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671" w:type="dxa"/>
            <w:gridSpan w:val="5"/>
          </w:tcPr>
          <w:p>
            <w:pPr>
              <w:widowControl/>
              <w:spacing w:line="360" w:lineRule="auto"/>
              <w:jc w:val="left"/>
              <w:rPr>
                <w:sz w:val="24"/>
                <w:szCs w:val="24"/>
              </w:rPr>
            </w:pPr>
            <w:r>
              <w:rPr>
                <w:rFonts w:hint="eastAsia"/>
                <w:sz w:val="24"/>
                <w:szCs w:val="24"/>
              </w:rPr>
              <w:t>1．本项目按单价报价合计计算报价分值</w:t>
            </w:r>
          </w:p>
          <w:p>
            <w:pPr>
              <w:widowControl/>
              <w:spacing w:line="360" w:lineRule="auto"/>
              <w:jc w:val="left"/>
              <w:rPr>
                <w:sz w:val="24"/>
                <w:szCs w:val="24"/>
              </w:rPr>
            </w:pPr>
            <w:r>
              <w:rPr>
                <w:rFonts w:hint="eastAsia"/>
                <w:sz w:val="24"/>
                <w:szCs w:val="24"/>
              </w:rPr>
              <w:t>2.以上预估数量仅作为报价参考，不作为最终结算依据，最终采购量以实际需求采购量为准，最终结算金额以中标单价和实际发生的数量结算，本项目总采购金额不超过最高限价金额。</w:t>
            </w:r>
          </w:p>
          <w:p>
            <w:pPr>
              <w:widowControl/>
              <w:spacing w:line="360" w:lineRule="auto"/>
              <w:jc w:val="left"/>
              <w:rPr>
                <w:sz w:val="24"/>
                <w:szCs w:val="24"/>
              </w:rPr>
            </w:pPr>
            <w:r>
              <w:rPr>
                <w:rFonts w:hint="eastAsia"/>
                <w:sz w:val="24"/>
                <w:szCs w:val="24"/>
              </w:rPr>
              <w:t>3.收费依据：依照《绵阳市医疗服务项目收费》</w:t>
            </w:r>
          </w:p>
          <w:p>
            <w:pPr>
              <w:widowControl/>
              <w:spacing w:line="360" w:lineRule="auto"/>
              <w:jc w:val="left"/>
              <w:rPr>
                <w:sz w:val="24"/>
                <w:szCs w:val="24"/>
              </w:rPr>
            </w:pPr>
            <w:r>
              <w:rPr>
                <w:rFonts w:hint="eastAsia"/>
                <w:sz w:val="24"/>
                <w:szCs w:val="24"/>
              </w:rPr>
              <w:t>收费编码：270700003（脱氧核糖核酸DNA测序），三甲医院收费标准：320元/项。</w:t>
            </w:r>
          </w:p>
        </w:tc>
      </w:tr>
    </w:tbl>
    <w:p>
      <w:pPr>
        <w:pStyle w:val="9"/>
        <w:numPr>
          <w:ilvl w:val="0"/>
          <w:numId w:val="1"/>
        </w:numPr>
        <w:spacing w:line="360" w:lineRule="auto"/>
        <w:ind w:firstLineChars="0"/>
        <w:rPr>
          <w:b/>
          <w:sz w:val="24"/>
          <w:szCs w:val="24"/>
        </w:rPr>
      </w:pPr>
      <w:r>
        <w:rPr>
          <w:rFonts w:hint="eastAsia"/>
          <w:b/>
          <w:sz w:val="24"/>
          <w:szCs w:val="24"/>
        </w:rPr>
        <w:t>技术参数</w:t>
      </w:r>
    </w:p>
    <w:p>
      <w:pPr>
        <w:pStyle w:val="9"/>
        <w:spacing w:line="360" w:lineRule="auto"/>
        <w:ind w:firstLine="0" w:firstLineChars="0"/>
        <w:rPr>
          <w:rFonts w:eastAsia="仿宋_GB2312"/>
          <w:b/>
          <w:kern w:val="0"/>
          <w:sz w:val="28"/>
          <w:szCs w:val="28"/>
        </w:rPr>
      </w:pPr>
      <w:r>
        <w:rPr>
          <w:rFonts w:eastAsia="仿宋_GB2312"/>
          <w:b/>
          <w:kern w:val="0"/>
          <w:sz w:val="28"/>
          <w:szCs w:val="28"/>
        </w:rPr>
        <w:t>（1）</w:t>
      </w:r>
      <w:r>
        <w:rPr>
          <w:rFonts w:eastAsia="仿宋_GB2312"/>
          <w:b/>
          <w:sz w:val="28"/>
          <w:szCs w:val="28"/>
        </w:rPr>
        <w:t>宫颈癌PAX1基因甲基化检测</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样本类型：宫颈脱落细胞；</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测定方法：实时荧光定量PCR；</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检测周期；≤10个工作日；</w:t>
      </w:r>
    </w:p>
    <w:p>
      <w:pPr>
        <w:tabs>
          <w:tab w:val="left" w:pos="0"/>
        </w:tabs>
        <w:spacing w:line="540" w:lineRule="exact"/>
        <w:ind w:firstLine="560" w:firstLineChars="200"/>
        <w:contextualSpacing/>
        <w:rPr>
          <w:rFonts w:eastAsia="仿宋_GB2312" w:cs="Times New Roman"/>
          <w:kern w:val="0"/>
          <w:sz w:val="28"/>
          <w:szCs w:val="28"/>
        </w:rPr>
      </w:pPr>
      <w:r>
        <w:rPr>
          <w:rFonts w:hint="eastAsia" w:ascii="Times New Roman" w:hAnsi="Times New Roman" w:eastAsia="仿宋_GB2312" w:cs="Times New Roman"/>
          <w:kern w:val="0"/>
          <w:sz w:val="28"/>
          <w:szCs w:val="28"/>
        </w:rPr>
        <w:t>适用人群</w:t>
      </w:r>
      <w:r>
        <w:rPr>
          <w:rFonts w:ascii="Times New Roman" w:hAnsi="Times New Roman" w:eastAsia="仿宋_GB2312" w:cs="Times New Roman"/>
          <w:kern w:val="0"/>
          <w:sz w:val="28"/>
          <w:szCs w:val="28"/>
        </w:rPr>
        <w:t>：13</w:t>
      </w:r>
      <w:r>
        <w:rPr>
          <w:rFonts w:hint="eastAsia" w:ascii="Times New Roman" w:hAnsi="Times New Roman" w:eastAsia="仿宋_GB2312" w:cs="Times New Roman"/>
          <w:kern w:val="0"/>
          <w:sz w:val="28"/>
          <w:szCs w:val="28"/>
        </w:rPr>
        <w:t>种高危HPV阳性患者分流（HPV31、33、35、39、45、51、52、53、56、58、59、66、6</w:t>
      </w:r>
      <w:r>
        <w:rPr>
          <w:rFonts w:ascii="Times New Roman" w:hAnsi="Times New Roman" w:eastAsia="仿宋_GB2312" w:cs="Times New Roman"/>
          <w:kern w:val="0"/>
          <w:sz w:val="28"/>
          <w:szCs w:val="28"/>
        </w:rPr>
        <w:t>8</w:t>
      </w:r>
      <w:r>
        <w:rPr>
          <w:rFonts w:hint="eastAsia" w:ascii="Times New Roman" w:hAnsi="Times New Roman" w:eastAsia="仿宋_GB2312" w:cs="Times New Roman"/>
          <w:kern w:val="0"/>
          <w:sz w:val="28"/>
          <w:szCs w:val="28"/>
        </w:rPr>
        <w:t>型）</w:t>
      </w:r>
      <w:r>
        <w:rPr>
          <w:rFonts w:hint="eastAsia" w:eastAsia="仿宋_GB2312" w:cs="Times New Roman"/>
          <w:kern w:val="0"/>
          <w:sz w:val="28"/>
          <w:szCs w:val="28"/>
        </w:rPr>
        <w:t>；</w:t>
      </w:r>
    </w:p>
    <w:p>
      <w:pPr>
        <w:tabs>
          <w:tab w:val="left" w:pos="0"/>
        </w:tabs>
        <w:spacing w:line="540" w:lineRule="exact"/>
        <w:ind w:firstLine="560" w:firstLineChars="200"/>
        <w:contextualSpacing/>
        <w:rPr>
          <w:rFonts w:eastAsia="仿宋_GB2312" w:cs="Times New Roman"/>
          <w:kern w:val="0"/>
          <w:sz w:val="28"/>
          <w:szCs w:val="28"/>
        </w:rPr>
      </w:pPr>
      <w:r>
        <w:rPr>
          <w:rFonts w:ascii="Times New Roman" w:hAnsi="Times New Roman" w:eastAsia="仿宋_GB2312" w:cs="Times New Roman"/>
          <w:kern w:val="0"/>
          <w:sz w:val="28"/>
          <w:szCs w:val="28"/>
        </w:rPr>
        <w:t>核心引物</w:t>
      </w:r>
      <w:r>
        <w:rPr>
          <w:rFonts w:eastAsia="仿宋_GB2312" w:cs="Times New Roman"/>
          <w:kern w:val="0"/>
          <w:sz w:val="28"/>
          <w:szCs w:val="28"/>
        </w:rPr>
        <w:t>：</w:t>
      </w:r>
      <w:r>
        <w:rPr>
          <w:rFonts w:ascii="Times New Roman" w:hAnsi="Times New Roman" w:eastAsia="仿宋_GB2312" w:cs="Times New Roman"/>
          <w:kern w:val="0"/>
          <w:sz w:val="28"/>
          <w:szCs w:val="28"/>
        </w:rPr>
        <w:t>5‘TATTTTGGGTTTGGGGTCGC’3</w:t>
      </w:r>
      <w:r>
        <w:rPr>
          <w:rFonts w:eastAsia="仿宋_GB2312" w:cs="Times New Roman"/>
          <w:kern w:val="0"/>
          <w:sz w:val="28"/>
          <w:szCs w:val="28"/>
        </w:rPr>
        <w:t>；</w:t>
      </w:r>
    </w:p>
    <w:p>
      <w:pPr>
        <w:tabs>
          <w:tab w:val="left" w:pos="0"/>
        </w:tabs>
        <w:spacing w:line="540" w:lineRule="exact"/>
        <w:ind w:firstLine="560" w:firstLineChars="200"/>
        <w:contextualSpacing/>
        <w:rPr>
          <w:rFonts w:eastAsia="仿宋_GB2312" w:cs="Times New Roman"/>
          <w:kern w:val="0"/>
          <w:sz w:val="28"/>
          <w:szCs w:val="28"/>
        </w:rPr>
      </w:pPr>
      <w:r>
        <w:rPr>
          <w:rFonts w:hint="eastAsia" w:ascii="Times New Roman" w:hAnsi="Times New Roman" w:eastAsia="仿宋_GB2312" w:cs="Times New Roman"/>
          <w:kern w:val="0"/>
          <w:sz w:val="28"/>
          <w:szCs w:val="28"/>
        </w:rPr>
        <w:t>内控指标</w:t>
      </w:r>
      <w:r>
        <w:rPr>
          <w:rFonts w:ascii="Times New Roman" w:hAnsi="Times New Roman" w:eastAsia="仿宋_GB2312" w:cs="Times New Roman"/>
          <w:kern w:val="0"/>
          <w:sz w:val="28"/>
          <w:szCs w:val="28"/>
        </w:rPr>
        <w:t>：阴/阳性质控</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阴/阳性对照</w:t>
      </w:r>
      <w:r>
        <w:rPr>
          <w:rFonts w:hint="eastAsia" w:eastAsia="仿宋_GB2312" w:cs="Times New Roman"/>
          <w:kern w:val="0"/>
          <w:sz w:val="28"/>
          <w:szCs w:val="28"/>
        </w:rPr>
        <w:t>；</w:t>
      </w:r>
    </w:p>
    <w:p>
      <w:pPr>
        <w:tabs>
          <w:tab w:val="left" w:pos="0"/>
        </w:tabs>
        <w:spacing w:line="540" w:lineRule="exact"/>
        <w:ind w:firstLine="560" w:firstLineChars="200"/>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检测特异性：≥92%；</w:t>
      </w:r>
    </w:p>
    <w:p>
      <w:pPr>
        <w:tabs>
          <w:tab w:val="left" w:pos="0"/>
        </w:tabs>
        <w:spacing w:line="540" w:lineRule="exact"/>
        <w:ind w:firstLine="560" w:firstLineChars="200"/>
        <w:contextualSpacing/>
        <w:rPr>
          <w:rFonts w:eastAsia="仿宋_GB2312"/>
          <w:kern w:val="0"/>
          <w:sz w:val="28"/>
          <w:szCs w:val="28"/>
        </w:rPr>
      </w:pPr>
      <w:r>
        <w:rPr>
          <w:rFonts w:ascii="Times New Roman" w:hAnsi="Times New Roman" w:eastAsia="仿宋_GB2312" w:cs="Times New Roman"/>
          <w:kern w:val="0"/>
          <w:sz w:val="28"/>
          <w:szCs w:val="28"/>
        </w:rPr>
        <w:t>精密度：CV</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5.0%</w:t>
      </w:r>
      <w:r>
        <w:rPr>
          <w:rFonts w:hint="eastAsia" w:eastAsia="仿宋_GB2312" w:cs="Times New Roman"/>
          <w:kern w:val="0"/>
          <w:sz w:val="28"/>
          <w:szCs w:val="28"/>
        </w:rPr>
        <w:t>；</w:t>
      </w:r>
    </w:p>
    <w:p>
      <w:pPr>
        <w:tabs>
          <w:tab w:val="left" w:pos="0"/>
        </w:tabs>
        <w:spacing w:line="540" w:lineRule="exact"/>
        <w:ind w:firstLine="562" w:firstLineChars="200"/>
        <w:contextualSpacing/>
        <w:rPr>
          <w:rFonts w:eastAsia="仿宋_GB2312"/>
          <w:b/>
          <w:sz w:val="28"/>
          <w:szCs w:val="28"/>
        </w:rPr>
      </w:pPr>
      <w:r>
        <w:rPr>
          <w:rFonts w:eastAsia="仿宋_GB2312"/>
          <w:b/>
          <w:sz w:val="28"/>
          <w:szCs w:val="28"/>
        </w:rPr>
        <w:t>（2）肠癌基因甲基化检测</w:t>
      </w:r>
    </w:p>
    <w:p>
      <w:pPr>
        <w:tabs>
          <w:tab w:val="left" w:pos="0"/>
        </w:tabs>
        <w:spacing w:line="540" w:lineRule="exact"/>
        <w:ind w:firstLine="560" w:firstLineChars="200"/>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样本类型：外周血液样本；</w:t>
      </w:r>
    </w:p>
    <w:p>
      <w:pPr>
        <w:tabs>
          <w:tab w:val="left" w:pos="0"/>
        </w:tabs>
        <w:spacing w:line="540" w:lineRule="exact"/>
        <w:ind w:firstLine="560" w:firstLineChars="200"/>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测定方法：实时荧光定量PCR；</w:t>
      </w:r>
    </w:p>
    <w:p>
      <w:pPr>
        <w:tabs>
          <w:tab w:val="left" w:pos="0"/>
        </w:tabs>
        <w:spacing w:line="540" w:lineRule="exact"/>
        <w:ind w:firstLine="560" w:firstLineChars="200"/>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检测周期；≤10个工作日；</w:t>
      </w:r>
    </w:p>
    <w:p>
      <w:pPr>
        <w:tabs>
          <w:tab w:val="left" w:pos="0"/>
        </w:tabs>
        <w:spacing w:line="540" w:lineRule="exact"/>
        <w:ind w:left="638" w:leftChars="304"/>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基因检测数：要求检测至少4个以上CRC相关基因（含Septin9基因）；</w:t>
      </w:r>
    </w:p>
    <w:p>
      <w:pPr>
        <w:tabs>
          <w:tab w:val="left" w:pos="0"/>
        </w:tabs>
        <w:spacing w:line="540" w:lineRule="exact"/>
        <w:ind w:left="638" w:leftChars="304"/>
        <w:contextualSpacing/>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检测甲基化区域：要求检测至少4个以上CRC相关基因甲基化区域；</w:t>
      </w:r>
    </w:p>
    <w:p>
      <w:pPr>
        <w:tabs>
          <w:tab w:val="left" w:pos="0"/>
        </w:tabs>
        <w:spacing w:line="540" w:lineRule="exact"/>
        <w:ind w:left="638" w:leftChars="304"/>
        <w:contextualSpacing/>
        <w:rPr>
          <w:rFonts w:eastAsia="仿宋_GB2312"/>
          <w:kern w:val="0"/>
          <w:sz w:val="28"/>
          <w:szCs w:val="28"/>
        </w:rPr>
      </w:pPr>
      <w:r>
        <w:rPr>
          <w:rFonts w:ascii="Times New Roman" w:hAnsi="Times New Roman" w:eastAsia="仿宋_GB2312" w:cs="Times New Roman"/>
          <w:kern w:val="0"/>
          <w:sz w:val="28"/>
          <w:szCs w:val="28"/>
        </w:rPr>
        <w:t>质量评估：检测过程中，同时设置内外对照组；</w:t>
      </w:r>
    </w:p>
    <w:p>
      <w:pPr>
        <w:tabs>
          <w:tab w:val="left" w:pos="0"/>
        </w:tabs>
        <w:spacing w:line="540" w:lineRule="exact"/>
        <w:ind w:firstLine="562" w:firstLineChars="200"/>
        <w:contextualSpacing/>
        <w:rPr>
          <w:rFonts w:eastAsia="仿宋_GB2312"/>
          <w:kern w:val="0"/>
          <w:sz w:val="28"/>
          <w:szCs w:val="28"/>
        </w:rPr>
      </w:pPr>
      <w:r>
        <w:rPr>
          <w:rFonts w:eastAsia="仿宋_GB2312"/>
          <w:b/>
          <w:bCs/>
          <w:kern w:val="0"/>
          <w:sz w:val="28"/>
          <w:szCs w:val="28"/>
        </w:rPr>
        <w:t>（3）</w:t>
      </w:r>
      <w:r>
        <w:rPr>
          <w:rFonts w:eastAsia="仿宋_GB2312"/>
          <w:b/>
          <w:bCs/>
          <w:sz w:val="28"/>
          <w:szCs w:val="28"/>
        </w:rPr>
        <w:t>胃癌基因甲基化检测</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技术要求：外周血液样本；</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测定方法：实时荧光定量PCR；</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检测周期；≤10个工作日；</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基因检测数：要求检测</w:t>
      </w:r>
      <w:r>
        <w:rPr>
          <w:rFonts w:hint="eastAsia" w:eastAsia="仿宋_GB2312"/>
          <w:kern w:val="0"/>
          <w:sz w:val="28"/>
          <w:szCs w:val="28"/>
        </w:rPr>
        <w:t>胃癌相关的</w:t>
      </w:r>
      <w:r>
        <w:rPr>
          <w:rFonts w:eastAsia="仿宋_GB2312"/>
          <w:kern w:val="0"/>
          <w:sz w:val="28"/>
          <w:szCs w:val="28"/>
        </w:rPr>
        <w:t>2个基因</w:t>
      </w:r>
      <w:r>
        <w:rPr>
          <w:rFonts w:hint="eastAsia" w:eastAsia="仿宋_GB2312"/>
          <w:kern w:val="0"/>
          <w:sz w:val="28"/>
          <w:szCs w:val="28"/>
        </w:rPr>
        <w:t>甲基化情况</w:t>
      </w:r>
      <w:r>
        <w:rPr>
          <w:rFonts w:eastAsia="仿宋_GB2312"/>
          <w:kern w:val="0"/>
          <w:sz w:val="28"/>
          <w:szCs w:val="28"/>
        </w:rPr>
        <w:t>；</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检测甲基化区域：要求检测2个相关基因的甲基化区域，</w:t>
      </w:r>
    </w:p>
    <w:p>
      <w:pPr>
        <w:tabs>
          <w:tab w:val="left" w:pos="0"/>
        </w:tabs>
        <w:spacing w:line="540" w:lineRule="exact"/>
        <w:ind w:firstLine="560" w:firstLineChars="200"/>
        <w:contextualSpacing/>
        <w:rPr>
          <w:rFonts w:eastAsia="仿宋_GB2312"/>
          <w:kern w:val="0"/>
          <w:sz w:val="32"/>
          <w:szCs w:val="32"/>
        </w:rPr>
      </w:pPr>
      <w:r>
        <w:rPr>
          <w:rFonts w:eastAsia="仿宋_GB2312"/>
          <w:kern w:val="0"/>
          <w:sz w:val="28"/>
          <w:szCs w:val="28"/>
        </w:rPr>
        <w:t>质量评估：检测过程中，同时设置内外对照组；</w:t>
      </w:r>
    </w:p>
    <w:p>
      <w:pPr>
        <w:pStyle w:val="9"/>
        <w:numPr>
          <w:ilvl w:val="0"/>
          <w:numId w:val="2"/>
        </w:numPr>
        <w:tabs>
          <w:tab w:val="left" w:pos="0"/>
        </w:tabs>
        <w:spacing w:line="540" w:lineRule="exact"/>
        <w:ind w:firstLineChars="0"/>
        <w:contextualSpacing/>
        <w:rPr>
          <w:rFonts w:eastAsia="仿宋_GB2312"/>
          <w:b/>
          <w:bCs/>
          <w:kern w:val="0"/>
          <w:sz w:val="32"/>
          <w:szCs w:val="32"/>
        </w:rPr>
      </w:pPr>
      <w:r>
        <w:rPr>
          <w:rFonts w:eastAsia="仿宋_GB2312"/>
          <w:b/>
          <w:bCs/>
          <w:kern w:val="0"/>
          <w:sz w:val="32"/>
          <w:szCs w:val="32"/>
        </w:rPr>
        <w:t>肺癌基因甲基化检测</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技术要求：外周血液样本；</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测定方法：实时荧光定量PCR；</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检测周期；≤10个工作日；</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基因检测数：要求检测3个相关基因；</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检测甲基化区域：要求检测3个相关基因的甲基化区域，</w:t>
      </w:r>
    </w:p>
    <w:p>
      <w:pPr>
        <w:tabs>
          <w:tab w:val="left" w:pos="0"/>
        </w:tabs>
        <w:spacing w:line="540" w:lineRule="exact"/>
        <w:contextualSpacing/>
        <w:rPr>
          <w:rFonts w:eastAsia="仿宋_GB2312"/>
          <w:kern w:val="0"/>
          <w:sz w:val="32"/>
          <w:szCs w:val="32"/>
        </w:rPr>
      </w:pPr>
      <w:r>
        <w:rPr>
          <w:rFonts w:eastAsia="仿宋_GB2312"/>
          <w:kern w:val="0"/>
          <w:sz w:val="32"/>
          <w:szCs w:val="32"/>
        </w:rPr>
        <w:t xml:space="preserve">   质量评估：检测过程中，同时设置内外对照组；</w:t>
      </w:r>
    </w:p>
    <w:p>
      <w:pPr>
        <w:tabs>
          <w:tab w:val="left" w:pos="0"/>
        </w:tabs>
        <w:spacing w:line="540" w:lineRule="exact"/>
        <w:ind w:firstLine="562" w:firstLineChars="200"/>
        <w:contextualSpacing/>
        <w:rPr>
          <w:rFonts w:eastAsia="仿宋_GB2312"/>
          <w:b/>
          <w:sz w:val="28"/>
          <w:szCs w:val="28"/>
        </w:rPr>
      </w:pPr>
      <w:r>
        <w:rPr>
          <w:rFonts w:eastAsia="仿宋_GB2312"/>
          <w:b/>
          <w:sz w:val="28"/>
          <w:szCs w:val="28"/>
        </w:rPr>
        <w:t>（</w:t>
      </w:r>
      <w:r>
        <w:rPr>
          <w:rFonts w:hint="eastAsia" w:eastAsia="仿宋_GB2312"/>
          <w:b/>
          <w:sz w:val="28"/>
          <w:szCs w:val="28"/>
        </w:rPr>
        <w:t>5</w:t>
      </w:r>
      <w:r>
        <w:rPr>
          <w:rFonts w:eastAsia="仿宋_GB2312"/>
          <w:b/>
          <w:sz w:val="28"/>
          <w:szCs w:val="28"/>
        </w:rPr>
        <w:t>）</w:t>
      </w:r>
      <w:r>
        <w:rPr>
          <w:rFonts w:hint="eastAsia" w:eastAsia="仿宋_GB2312"/>
          <w:b/>
          <w:sz w:val="28"/>
          <w:szCs w:val="28"/>
        </w:rPr>
        <w:t>肝</w:t>
      </w:r>
      <w:r>
        <w:rPr>
          <w:rFonts w:eastAsia="仿宋_GB2312"/>
          <w:b/>
          <w:sz w:val="28"/>
          <w:szCs w:val="28"/>
        </w:rPr>
        <w:t>癌多基因甲基化检测</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样本类型：外周血液样本；</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测定方法：实时荧光定量PCR；</w:t>
      </w:r>
    </w:p>
    <w:p>
      <w:pPr>
        <w:tabs>
          <w:tab w:val="left" w:pos="0"/>
        </w:tabs>
        <w:spacing w:line="540" w:lineRule="exact"/>
        <w:ind w:firstLine="560" w:firstLineChars="200"/>
        <w:contextualSpacing/>
        <w:rPr>
          <w:rFonts w:eastAsia="仿宋_GB2312"/>
          <w:kern w:val="0"/>
          <w:sz w:val="28"/>
          <w:szCs w:val="28"/>
        </w:rPr>
      </w:pPr>
      <w:r>
        <w:rPr>
          <w:rFonts w:eastAsia="仿宋_GB2312"/>
          <w:kern w:val="0"/>
          <w:sz w:val="28"/>
          <w:szCs w:val="28"/>
        </w:rPr>
        <w:t>检测周期；≤10个工作日；</w:t>
      </w:r>
    </w:p>
    <w:p>
      <w:pPr>
        <w:tabs>
          <w:tab w:val="left" w:pos="0"/>
        </w:tabs>
        <w:spacing w:line="540" w:lineRule="exact"/>
        <w:ind w:left="638" w:leftChars="304"/>
        <w:contextualSpacing/>
        <w:rPr>
          <w:rFonts w:eastAsia="仿宋_GB2312"/>
          <w:kern w:val="0"/>
          <w:sz w:val="28"/>
          <w:szCs w:val="28"/>
        </w:rPr>
      </w:pPr>
      <w:r>
        <w:rPr>
          <w:rFonts w:eastAsia="仿宋_GB2312"/>
          <w:kern w:val="0"/>
          <w:sz w:val="28"/>
          <w:szCs w:val="28"/>
        </w:rPr>
        <w:t>基因检测数：要求检测至少5个以上HCC相关基因</w:t>
      </w:r>
      <w:r>
        <w:rPr>
          <w:rFonts w:hint="eastAsia" w:eastAsia="仿宋_GB2312"/>
          <w:kern w:val="0"/>
          <w:sz w:val="28"/>
          <w:szCs w:val="28"/>
        </w:rPr>
        <w:t>；</w:t>
      </w:r>
    </w:p>
    <w:p>
      <w:pPr>
        <w:tabs>
          <w:tab w:val="left" w:pos="0"/>
        </w:tabs>
        <w:spacing w:line="540" w:lineRule="exact"/>
        <w:ind w:left="638" w:leftChars="304"/>
        <w:contextualSpacing/>
        <w:rPr>
          <w:rFonts w:eastAsia="仿宋_GB2312"/>
          <w:kern w:val="0"/>
          <w:sz w:val="28"/>
          <w:szCs w:val="28"/>
        </w:rPr>
      </w:pPr>
      <w:r>
        <w:rPr>
          <w:rFonts w:eastAsia="仿宋_GB2312"/>
          <w:kern w:val="0"/>
          <w:sz w:val="28"/>
          <w:szCs w:val="28"/>
        </w:rPr>
        <w:t>检测甲基化区域：要求检测至少6个以上</w:t>
      </w:r>
      <w:r>
        <w:rPr>
          <w:rFonts w:hint="eastAsia" w:eastAsia="仿宋_GB2312"/>
          <w:kern w:val="0"/>
          <w:sz w:val="28"/>
          <w:szCs w:val="28"/>
        </w:rPr>
        <w:t>H</w:t>
      </w:r>
      <w:r>
        <w:rPr>
          <w:rFonts w:eastAsia="仿宋_GB2312"/>
          <w:kern w:val="0"/>
          <w:sz w:val="28"/>
          <w:szCs w:val="28"/>
        </w:rPr>
        <w:t>CC相关基因甲基化区域；</w:t>
      </w:r>
    </w:p>
    <w:p>
      <w:pPr>
        <w:tabs>
          <w:tab w:val="left" w:pos="0"/>
        </w:tabs>
        <w:spacing w:line="540" w:lineRule="exact"/>
        <w:ind w:left="638" w:leftChars="304"/>
        <w:contextualSpacing/>
        <w:rPr>
          <w:b/>
          <w:sz w:val="24"/>
          <w:szCs w:val="24"/>
        </w:rPr>
      </w:pPr>
      <w:r>
        <w:rPr>
          <w:rFonts w:eastAsia="仿宋_GB2312"/>
          <w:kern w:val="0"/>
          <w:sz w:val="28"/>
          <w:szCs w:val="28"/>
        </w:rPr>
        <w:t>质量评估：检测过程中，同时设置内外对照组；</w:t>
      </w:r>
    </w:p>
    <w:p>
      <w:pPr>
        <w:pStyle w:val="9"/>
        <w:spacing w:line="360" w:lineRule="auto"/>
        <w:ind w:firstLine="0" w:firstLineChars="0"/>
        <w:rPr>
          <w:b/>
          <w:sz w:val="24"/>
          <w:szCs w:val="24"/>
        </w:rPr>
      </w:pPr>
      <w:r>
        <w:rPr>
          <w:rFonts w:hint="eastAsia"/>
          <w:b/>
          <w:sz w:val="24"/>
          <w:szCs w:val="24"/>
        </w:rPr>
        <w:t>2、技术服务要求</w:t>
      </w:r>
    </w:p>
    <w:p>
      <w:pPr>
        <w:pStyle w:val="9"/>
        <w:spacing w:line="360" w:lineRule="auto"/>
        <w:ind w:firstLine="0" w:firstLineChars="0"/>
        <w:rPr>
          <w:sz w:val="24"/>
          <w:szCs w:val="24"/>
        </w:rPr>
      </w:pPr>
      <w:r>
        <w:rPr>
          <w:rFonts w:hint="eastAsia"/>
          <w:sz w:val="24"/>
          <w:szCs w:val="24"/>
        </w:rPr>
        <w:t>（1）质量要求</w:t>
      </w:r>
    </w:p>
    <w:p>
      <w:pPr>
        <w:pStyle w:val="9"/>
        <w:spacing w:line="360" w:lineRule="auto"/>
        <w:ind w:left="360" w:firstLine="482"/>
        <w:rPr>
          <w:sz w:val="24"/>
          <w:szCs w:val="24"/>
        </w:rPr>
      </w:pPr>
      <w:r>
        <w:rPr>
          <w:rFonts w:hint="eastAsia" w:asciiTheme="minorEastAsia" w:hAnsiTheme="minorEastAsia"/>
          <w:b/>
          <w:sz w:val="24"/>
          <w:szCs w:val="24"/>
        </w:rPr>
        <w:t>★</w:t>
      </w:r>
      <w:r>
        <w:rPr>
          <w:rFonts w:hint="eastAsia"/>
          <w:sz w:val="24"/>
          <w:szCs w:val="24"/>
        </w:rPr>
        <w:t>1．应每年提供室内质控报告资料与经国家有关部门认证的合格的室间质量评证合格材料。(需提供承诺函)</w:t>
      </w:r>
    </w:p>
    <w:p>
      <w:pPr>
        <w:pStyle w:val="9"/>
        <w:spacing w:line="360" w:lineRule="auto"/>
        <w:ind w:left="360" w:firstLine="482"/>
        <w:rPr>
          <w:sz w:val="24"/>
          <w:szCs w:val="24"/>
        </w:rPr>
      </w:pPr>
      <w:r>
        <w:rPr>
          <w:rFonts w:hint="eastAsia" w:asciiTheme="minorEastAsia" w:hAnsiTheme="minorEastAsia"/>
          <w:b/>
          <w:sz w:val="24"/>
          <w:szCs w:val="24"/>
        </w:rPr>
        <w:t>★2</w:t>
      </w:r>
      <w:r>
        <w:rPr>
          <w:rFonts w:hint="eastAsia"/>
          <w:sz w:val="24"/>
          <w:szCs w:val="24"/>
        </w:rPr>
        <w:t>．对采购人需医保报销病人，提供绵阳市内三甲医院的检测报告服务，并负责其检测项目物流服务。(需提供承诺函)</w:t>
      </w:r>
    </w:p>
    <w:p>
      <w:pPr>
        <w:pStyle w:val="9"/>
        <w:spacing w:line="360" w:lineRule="auto"/>
        <w:ind w:left="360" w:firstLine="480"/>
        <w:rPr>
          <w:sz w:val="24"/>
          <w:szCs w:val="24"/>
        </w:rPr>
      </w:pPr>
      <w:r>
        <w:rPr>
          <w:rFonts w:hint="eastAsia"/>
          <w:sz w:val="24"/>
          <w:szCs w:val="24"/>
        </w:rPr>
        <w:t>3．对干采购人所提供标本的相关信息负有保密责任，但因相关法律、 法规的明确规定，必须向有关国家机关、政府部门及公众披露的除外， 收取标本时，须对标本的完好性进行核查，对不合格的送检标本有权拒收；</w:t>
      </w:r>
    </w:p>
    <w:p>
      <w:pPr>
        <w:pStyle w:val="9"/>
        <w:spacing w:line="360" w:lineRule="auto"/>
        <w:ind w:left="360" w:firstLine="480"/>
        <w:rPr>
          <w:sz w:val="24"/>
          <w:szCs w:val="24"/>
        </w:rPr>
      </w:pPr>
      <w:r>
        <w:rPr>
          <w:rFonts w:hint="eastAsia"/>
          <w:sz w:val="24"/>
          <w:szCs w:val="24"/>
        </w:rPr>
        <w:t>4．如果采购人对投标人出具的检验检查报告有异议，并向投标人书面提出复检要求的，投标人应在 24小时内实施复检，如果证明检验检查结果无误，复检费由采购人承担。若检验结果有误，复检费由投标人自行承担，并承担相关法律后果。</w:t>
      </w:r>
    </w:p>
    <w:p>
      <w:pPr>
        <w:pStyle w:val="9"/>
        <w:spacing w:line="360" w:lineRule="auto"/>
        <w:ind w:left="359" w:leftChars="171" w:firstLine="480"/>
        <w:rPr>
          <w:sz w:val="24"/>
          <w:szCs w:val="24"/>
        </w:rPr>
      </w:pPr>
      <w:r>
        <w:rPr>
          <w:rFonts w:hint="eastAsia"/>
          <w:sz w:val="24"/>
          <w:szCs w:val="24"/>
        </w:rPr>
        <w:t>5、投标人根据行业标准保留检验后的标本以备复检。由于标本量不够或超过保存时限导致无法复检的，投标人应及时告知采购人，由采购人重新送检。投标人未告知的，视为有条件进行复检。</w:t>
      </w:r>
    </w:p>
    <w:p>
      <w:pPr>
        <w:pStyle w:val="9"/>
        <w:spacing w:line="360" w:lineRule="auto"/>
        <w:ind w:left="360" w:firstLine="0" w:firstLineChars="0"/>
        <w:rPr>
          <w:sz w:val="24"/>
          <w:szCs w:val="24"/>
        </w:rPr>
      </w:pPr>
      <w:r>
        <w:rPr>
          <w:rFonts w:hint="eastAsia"/>
          <w:sz w:val="24"/>
          <w:szCs w:val="24"/>
        </w:rPr>
        <w:t>（2）安全要求</w:t>
      </w:r>
    </w:p>
    <w:p>
      <w:pPr>
        <w:pStyle w:val="9"/>
        <w:spacing w:line="360" w:lineRule="auto"/>
        <w:ind w:left="360" w:firstLine="0" w:firstLineChars="0"/>
        <w:rPr>
          <w:sz w:val="24"/>
          <w:szCs w:val="24"/>
        </w:rPr>
      </w:pPr>
      <w:r>
        <w:rPr>
          <w:rFonts w:hint="eastAsia"/>
          <w:sz w:val="24"/>
          <w:szCs w:val="24"/>
        </w:rPr>
        <w:t xml:space="preserve">  1、医院收集的所有检验标本在储存和运输过程中符合相关法律法规规定。</w:t>
      </w:r>
    </w:p>
    <w:p>
      <w:pPr>
        <w:pStyle w:val="9"/>
        <w:spacing w:line="360" w:lineRule="auto"/>
        <w:ind w:left="359" w:leftChars="171" w:firstLine="480"/>
        <w:rPr>
          <w:sz w:val="24"/>
          <w:szCs w:val="24"/>
        </w:rPr>
      </w:pPr>
      <w:r>
        <w:rPr>
          <w:rFonts w:hint="eastAsia"/>
          <w:sz w:val="24"/>
          <w:szCs w:val="24"/>
        </w:rPr>
        <w:t>2．提供专人、专车接收医院收取样本，提供专人、专车运送交接给医护人员保证医疗物品供应安全，达到卫生行标准。</w:t>
      </w:r>
    </w:p>
    <w:p>
      <w:pPr>
        <w:pStyle w:val="9"/>
        <w:spacing w:line="360" w:lineRule="auto"/>
        <w:ind w:left="359" w:leftChars="171" w:firstLine="480"/>
        <w:rPr>
          <w:sz w:val="24"/>
          <w:szCs w:val="24"/>
        </w:rPr>
      </w:pPr>
      <w:r>
        <w:rPr>
          <w:rFonts w:hint="eastAsia"/>
          <w:sz w:val="24"/>
          <w:szCs w:val="24"/>
        </w:rPr>
        <w:t>3.双方工作人员均有责任在以下环节进行签字确认，标本交接、报告单交接结算票据交接。</w:t>
      </w:r>
    </w:p>
    <w:p>
      <w:pPr>
        <w:pStyle w:val="9"/>
        <w:spacing w:line="360" w:lineRule="auto"/>
        <w:ind w:firstLine="480"/>
        <w:rPr>
          <w:sz w:val="24"/>
          <w:szCs w:val="24"/>
        </w:rPr>
      </w:pPr>
      <w:r>
        <w:rPr>
          <w:rFonts w:hint="eastAsia"/>
          <w:sz w:val="24"/>
          <w:szCs w:val="24"/>
        </w:rPr>
        <w:t>(3)技术要求</w:t>
      </w:r>
    </w:p>
    <w:p>
      <w:pPr>
        <w:pStyle w:val="9"/>
        <w:spacing w:line="360" w:lineRule="auto"/>
        <w:ind w:left="360" w:firstLine="480"/>
        <w:rPr>
          <w:sz w:val="24"/>
          <w:szCs w:val="24"/>
        </w:rPr>
      </w:pPr>
      <w:r>
        <w:rPr>
          <w:rFonts w:hint="eastAsia"/>
          <w:sz w:val="24"/>
          <w:szCs w:val="24"/>
        </w:rPr>
        <w:t xml:space="preserve">1．实验室达到行业要求，检测设备、试剂符合规范标准，标本存贮、 运输方式以及检测方法符合标准。具备对开展本项目检测项目所需要的设施设备，能提供招标项目所需的相关耗材，如申请单、标本转运箱等物品，应提供检测项质量标准和质量控制材料，包括质控方法和质量检测报告; </w:t>
      </w:r>
    </w:p>
    <w:p>
      <w:pPr>
        <w:pStyle w:val="9"/>
        <w:spacing w:line="360" w:lineRule="auto"/>
        <w:ind w:left="360" w:firstLine="482"/>
        <w:rPr>
          <w:sz w:val="24"/>
          <w:szCs w:val="24"/>
        </w:rPr>
      </w:pPr>
      <w:r>
        <w:rPr>
          <w:rFonts w:hint="eastAsia" w:asciiTheme="minorEastAsia" w:hAnsiTheme="minorEastAsia"/>
          <w:b/>
          <w:sz w:val="24"/>
          <w:szCs w:val="24"/>
        </w:rPr>
        <w:t>★</w:t>
      </w:r>
      <w:r>
        <w:rPr>
          <w:rFonts w:hint="eastAsia"/>
          <w:sz w:val="24"/>
          <w:szCs w:val="24"/>
        </w:rPr>
        <w:t>2．具备项目所需符合条件的实验操作人员，检测人员依法取得临床医学检验技术资格证及临床基因扩增检验实验室技术人员上岗证。 (提供证书复印件并加盖公章)</w:t>
      </w:r>
    </w:p>
    <w:p>
      <w:pPr>
        <w:pStyle w:val="9"/>
        <w:numPr>
          <w:ilvl w:val="0"/>
          <w:numId w:val="3"/>
        </w:numPr>
        <w:spacing w:line="360" w:lineRule="auto"/>
        <w:ind w:left="360" w:firstLine="480"/>
        <w:rPr>
          <w:sz w:val="24"/>
          <w:szCs w:val="24"/>
        </w:rPr>
      </w:pPr>
      <w:r>
        <w:rPr>
          <w:rFonts w:hint="eastAsia"/>
          <w:sz w:val="24"/>
          <w:szCs w:val="24"/>
        </w:rPr>
        <w:t>服务效率要求</w:t>
      </w:r>
    </w:p>
    <w:p>
      <w:pPr>
        <w:tabs>
          <w:tab w:val="left" w:pos="0"/>
        </w:tabs>
        <w:spacing w:line="540" w:lineRule="exact"/>
        <w:ind w:firstLine="281" w:firstLineChars="100"/>
        <w:contextualSpacing/>
        <w:rPr>
          <w:rFonts w:eastAsia="仿宋_GB2312"/>
          <w:kern w:val="0"/>
          <w:sz w:val="32"/>
          <w:szCs w:val="32"/>
        </w:rPr>
      </w:pPr>
      <w:r>
        <w:rPr>
          <w:rFonts w:hint="eastAsia" w:eastAsia="仿宋_GB2312"/>
          <w:b/>
          <w:kern w:val="0"/>
          <w:sz w:val="28"/>
          <w:szCs w:val="28"/>
        </w:rPr>
        <w:t>3、</w:t>
      </w:r>
      <w:r>
        <w:rPr>
          <w:rFonts w:eastAsia="仿宋_GB2312"/>
          <w:b/>
          <w:kern w:val="0"/>
          <w:sz w:val="28"/>
          <w:szCs w:val="28"/>
        </w:rPr>
        <w:t>服务要求</w:t>
      </w:r>
    </w:p>
    <w:p>
      <w:pPr>
        <w:numPr>
          <w:ilvl w:val="0"/>
          <w:numId w:val="4"/>
        </w:numPr>
        <w:tabs>
          <w:tab w:val="left" w:pos="0"/>
        </w:tabs>
        <w:spacing w:line="540" w:lineRule="exact"/>
        <w:contextualSpacing/>
        <w:rPr>
          <w:sz w:val="24"/>
          <w:szCs w:val="24"/>
        </w:rPr>
      </w:pPr>
      <w:r>
        <w:rPr>
          <w:sz w:val="24"/>
          <w:szCs w:val="24"/>
        </w:rPr>
        <w:t>供应商提供的检测结果不作为临床诊断、诊疗意见的结论，仅具有临床疾病诊断、诊疗参考意义，但该检测结果应当符合诊疗规范标准。若供应商出具的检测结果导致采购人做出的诊断等医疗行为对被检测者造成损害，采购人有权向供应商追责。</w:t>
      </w:r>
    </w:p>
    <w:p>
      <w:pPr>
        <w:numPr>
          <w:ilvl w:val="0"/>
          <w:numId w:val="4"/>
        </w:numPr>
        <w:tabs>
          <w:tab w:val="left" w:pos="0"/>
        </w:tabs>
        <w:spacing w:line="540" w:lineRule="exact"/>
        <w:contextualSpacing/>
        <w:rPr>
          <w:sz w:val="24"/>
          <w:szCs w:val="24"/>
        </w:rPr>
      </w:pPr>
      <w:r>
        <w:rPr>
          <w:sz w:val="24"/>
          <w:szCs w:val="24"/>
        </w:rPr>
        <w:t>因供应商对标本保管不善或检测阶段的过失所导致检测失败的责任由供应商承担，此例检测不计入结算检测量。若已经发生结算，供应商应于30日内将从采购人收到的此例检测的收费退给采购人</w:t>
      </w:r>
      <w:r>
        <w:rPr>
          <w:rFonts w:hint="eastAsia"/>
          <w:sz w:val="24"/>
          <w:szCs w:val="24"/>
        </w:rPr>
        <w:t>,</w:t>
      </w:r>
      <w:r>
        <w:rPr>
          <w:rFonts w:hint="eastAsia"/>
          <w:color w:val="000000" w:themeColor="text1"/>
          <w:sz w:val="24"/>
          <w:szCs w:val="24"/>
        </w:rPr>
        <w:t>并承担相应责任</w:t>
      </w:r>
      <w:r>
        <w:rPr>
          <w:sz w:val="24"/>
          <w:szCs w:val="24"/>
        </w:rPr>
        <w:t>。</w:t>
      </w:r>
    </w:p>
    <w:p>
      <w:pPr>
        <w:numPr>
          <w:ilvl w:val="0"/>
          <w:numId w:val="4"/>
        </w:numPr>
        <w:tabs>
          <w:tab w:val="left" w:pos="0"/>
        </w:tabs>
        <w:spacing w:line="540" w:lineRule="exact"/>
        <w:contextualSpacing/>
        <w:rPr>
          <w:sz w:val="24"/>
          <w:szCs w:val="24"/>
        </w:rPr>
      </w:pPr>
      <w:r>
        <w:rPr>
          <w:sz w:val="24"/>
          <w:szCs w:val="24"/>
        </w:rPr>
        <w:t>自采购人提交合格的样本之日起，原则上于10个工作日内完成检测工作，并向采购人提供合格样本的电子版、纸质版检测报告。报告须检测人员和复审人员双签字，并盖检验所（室）公章或报告专用章。如有特殊检测项目无法在10个工作日内完成的，需提前说明并另行约定报告交付时间。</w:t>
      </w:r>
    </w:p>
    <w:p>
      <w:pPr>
        <w:pStyle w:val="9"/>
        <w:spacing w:line="360" w:lineRule="auto"/>
        <w:ind w:left="420" w:leftChars="200" w:firstLine="0" w:firstLineChars="0"/>
        <w:rPr>
          <w:sz w:val="24"/>
          <w:szCs w:val="24"/>
        </w:rPr>
      </w:pPr>
      <w:r>
        <w:rPr>
          <w:sz w:val="24"/>
          <w:szCs w:val="24"/>
        </w:rPr>
        <w:t>供应商为采购人提供的第三方临床检测项目及对应价格不得高于</w:t>
      </w:r>
      <w:r>
        <w:rPr>
          <w:rFonts w:hint="eastAsia" w:ascii="宋体" w:hAnsi="宋体" w:eastAsia="宋体" w:cs="宋体"/>
          <w:sz w:val="24"/>
          <w:szCs w:val="24"/>
        </w:rPr>
        <w:t>«</w:t>
      </w:r>
      <w:r>
        <w:rPr>
          <w:rFonts w:hint="eastAsia"/>
          <w:color w:val="000000" w:themeColor="text1"/>
          <w:sz w:val="24"/>
          <w:szCs w:val="24"/>
        </w:rPr>
        <w:t>绵阳市医保物价收费标准</w:t>
      </w:r>
      <w:r>
        <w:rPr>
          <w:rFonts w:hint="eastAsia" w:ascii="宋体" w:hAnsi="宋体" w:eastAsia="宋体" w:cs="宋体"/>
          <w:color w:val="000000" w:themeColor="text1"/>
          <w:sz w:val="24"/>
          <w:szCs w:val="24"/>
        </w:rPr>
        <w:t>»</w:t>
      </w:r>
      <w:r>
        <w:rPr>
          <w:sz w:val="24"/>
          <w:szCs w:val="24"/>
        </w:rPr>
        <w:t>。若供应商市场价格有下调，在10个工作日内书面向采购人提供相关材料，修改项目服务价格。因供应商未在10个工作日内提供项目服务价格变动相关材料而导致被检测者造成的损失，采购人将按被检测者实际交费价格对供应商处以 3 倍金额罚款。若超过1个月，仍未提供项目服务价格变动相关材料，除按上述3倍金额罚款外，采购人有权直接终止本协议，并将供应商纳入采购人黑名单管理同时上报采购人上级单位。采购人送检的标本（包含送检各标本类型及其相关提取物）和相应的检测数据信息、检测者个人信息和相应检测报告等资料均归采购人所有</w:t>
      </w:r>
      <w:r>
        <w:rPr>
          <w:rFonts w:hint="eastAsia"/>
          <w:sz w:val="24"/>
          <w:szCs w:val="24"/>
        </w:rPr>
        <w:t>。</w:t>
      </w:r>
    </w:p>
    <w:p>
      <w:pPr>
        <w:pStyle w:val="9"/>
        <w:spacing w:line="360" w:lineRule="auto"/>
        <w:ind w:left="360" w:firstLine="480"/>
        <w:rPr>
          <w:color w:val="FF0000"/>
          <w:sz w:val="24"/>
          <w:szCs w:val="24"/>
        </w:rPr>
      </w:pPr>
      <w:r>
        <w:rPr>
          <w:rFonts w:hint="eastAsia"/>
          <w:sz w:val="24"/>
          <w:szCs w:val="24"/>
        </w:rPr>
        <w:t>4、服务期：</w:t>
      </w:r>
      <w:r>
        <w:rPr>
          <w:rFonts w:hint="eastAsia"/>
          <w:color w:val="000000" w:themeColor="text1"/>
          <w:sz w:val="24"/>
          <w:szCs w:val="24"/>
        </w:rPr>
        <w:t>一年。</w:t>
      </w:r>
    </w:p>
    <w:p>
      <w:pPr>
        <w:pStyle w:val="9"/>
        <w:spacing w:line="360" w:lineRule="auto"/>
        <w:ind w:left="360" w:firstLine="480"/>
        <w:rPr>
          <w:sz w:val="24"/>
          <w:szCs w:val="24"/>
        </w:rPr>
      </w:pPr>
      <w:r>
        <w:rPr>
          <w:rFonts w:hint="eastAsia"/>
          <w:sz w:val="24"/>
          <w:szCs w:val="24"/>
        </w:rPr>
        <w:t>5、标本移交地点：江油市人民医院指定地点。</w:t>
      </w:r>
    </w:p>
    <w:p>
      <w:pPr>
        <w:pStyle w:val="9"/>
        <w:spacing w:line="360" w:lineRule="auto"/>
        <w:ind w:left="360" w:firstLine="480"/>
        <w:rPr>
          <w:sz w:val="24"/>
          <w:szCs w:val="24"/>
        </w:rPr>
      </w:pPr>
      <w:r>
        <w:rPr>
          <w:rFonts w:hint="eastAsia"/>
          <w:sz w:val="24"/>
          <w:szCs w:val="24"/>
        </w:rPr>
        <w:t>6、付款方式：根据实际发生的送检项目及数量，结合成交单价计算结算金</w:t>
      </w:r>
    </w:p>
    <w:p>
      <w:pPr>
        <w:pStyle w:val="9"/>
        <w:spacing w:line="360" w:lineRule="auto"/>
        <w:ind w:left="-2" w:leftChars="-1" w:firstLine="348" w:firstLineChars="145"/>
        <w:rPr>
          <w:sz w:val="24"/>
          <w:szCs w:val="24"/>
        </w:rPr>
      </w:pPr>
      <w:r>
        <w:rPr>
          <w:rFonts w:hint="eastAsia"/>
          <w:sz w:val="24"/>
          <w:szCs w:val="24"/>
        </w:rPr>
        <w:t>额，一个月一次滚动付款。</w:t>
      </w:r>
    </w:p>
    <w:p>
      <w:pPr>
        <w:pStyle w:val="9"/>
        <w:spacing w:line="360" w:lineRule="auto"/>
        <w:ind w:left="360" w:firstLine="480"/>
        <w:rPr>
          <w:sz w:val="24"/>
          <w:szCs w:val="24"/>
        </w:rPr>
      </w:pPr>
      <w:r>
        <w:rPr>
          <w:rFonts w:hint="eastAsia"/>
          <w:sz w:val="24"/>
          <w:szCs w:val="24"/>
        </w:rPr>
        <w:t>7、履约验收。根据《财政部关于进一步加强政府采购需求和履约验收管理指导意见》(财库《2016》205 号)文件规范要求进行验收。</w:t>
      </w:r>
    </w:p>
    <w:p>
      <w:pPr>
        <w:pStyle w:val="9"/>
        <w:spacing w:line="360" w:lineRule="auto"/>
        <w:ind w:left="360" w:firstLine="480"/>
        <w:rPr>
          <w:sz w:val="24"/>
          <w:szCs w:val="24"/>
        </w:rPr>
      </w:pPr>
      <w:r>
        <w:rPr>
          <w:rFonts w:hint="eastAsia"/>
          <w:sz w:val="24"/>
          <w:szCs w:val="24"/>
        </w:rPr>
        <w:t>8、报价方式：供应商以</w:t>
      </w:r>
      <w:r>
        <w:rPr>
          <w:rFonts w:hint="eastAsia" w:ascii="宋体" w:hAnsi="宋体" w:eastAsia="宋体" w:cs="宋体"/>
          <w:sz w:val="24"/>
          <w:szCs w:val="24"/>
        </w:rPr>
        <w:t>«</w:t>
      </w:r>
      <w:r>
        <w:rPr>
          <w:rFonts w:hint="eastAsia"/>
          <w:color w:val="000000" w:themeColor="text1"/>
          <w:sz w:val="24"/>
          <w:szCs w:val="24"/>
        </w:rPr>
        <w:t>绵阳市医保物价收费标准</w:t>
      </w:r>
      <w:r>
        <w:rPr>
          <w:rFonts w:hint="eastAsia" w:ascii="宋体" w:hAnsi="宋体" w:eastAsia="宋体" w:cs="宋体"/>
          <w:color w:val="000000" w:themeColor="text1"/>
          <w:sz w:val="24"/>
          <w:szCs w:val="24"/>
        </w:rPr>
        <w:t>»</w:t>
      </w:r>
      <w:r>
        <w:rPr>
          <w:rFonts w:hint="eastAsia"/>
          <w:sz w:val="24"/>
          <w:szCs w:val="24"/>
        </w:rPr>
        <w:t>作为基准价，报出统一的折扣价格。成交后，双方按照成交供应商所报折扣价格为准进行定价并签订采购合同。合同履行过程中，双方不得随意调整价格。</w:t>
      </w:r>
    </w:p>
    <w:p>
      <w:pPr>
        <w:pStyle w:val="9"/>
        <w:spacing w:line="360" w:lineRule="auto"/>
        <w:ind w:left="360" w:firstLine="480"/>
        <w:rPr>
          <w:color w:val="000000" w:themeColor="text1"/>
          <w:sz w:val="24"/>
          <w:szCs w:val="24"/>
        </w:rPr>
      </w:pPr>
      <w:r>
        <w:rPr>
          <w:rFonts w:hint="eastAsia"/>
          <w:sz w:val="24"/>
          <w:szCs w:val="24"/>
        </w:rPr>
        <w:t>9、报价要求：投标人所报的价格须包括本服务项目相关的所有成本、费用、相关税费</w:t>
      </w:r>
      <w:r>
        <w:rPr>
          <w:rFonts w:hint="eastAsia"/>
          <w:color w:val="000000" w:themeColor="text1"/>
          <w:sz w:val="24"/>
          <w:szCs w:val="24"/>
        </w:rPr>
        <w:t>等其他相关费用。</w:t>
      </w:r>
    </w:p>
    <w:p>
      <w:pPr>
        <w:pStyle w:val="9"/>
        <w:spacing w:line="360" w:lineRule="auto"/>
        <w:ind w:left="360" w:firstLine="480"/>
        <w:rPr>
          <w:sz w:val="24"/>
          <w:szCs w:val="24"/>
        </w:rPr>
      </w:pPr>
      <w:r>
        <w:rPr>
          <w:rFonts w:hint="eastAsia"/>
          <w:sz w:val="24"/>
          <w:szCs w:val="24"/>
        </w:rPr>
        <w:t>10、其他未尽事宜以签订合同为准。</w:t>
      </w:r>
    </w:p>
    <w:p>
      <w:pPr>
        <w:pStyle w:val="9"/>
        <w:spacing w:line="360" w:lineRule="auto"/>
        <w:ind w:left="360" w:firstLine="480"/>
        <w:rPr>
          <w:sz w:val="24"/>
          <w:szCs w:val="24"/>
        </w:rPr>
      </w:pPr>
      <w:r>
        <w:rPr>
          <w:rFonts w:hint="eastAsia"/>
          <w:sz w:val="24"/>
          <w:szCs w:val="24"/>
        </w:rPr>
        <w:t>(</w:t>
      </w:r>
      <w:r>
        <w:rPr>
          <w:rFonts w:hint="eastAsia" w:asciiTheme="minorEastAsia" w:hAnsiTheme="minorEastAsia"/>
          <w:b/>
          <w:sz w:val="24"/>
          <w:szCs w:val="24"/>
        </w:rPr>
        <w:t>★</w:t>
      </w:r>
      <w:r>
        <w:rPr>
          <w:rFonts w:hint="eastAsia"/>
          <w:sz w:val="24"/>
          <w:szCs w:val="24"/>
        </w:rPr>
        <w:t>号为实质性要求，不满足做无效投标处理)</w:t>
      </w:r>
    </w:p>
    <w:p>
      <w:pPr>
        <w:pStyle w:val="9"/>
        <w:spacing w:line="360" w:lineRule="auto"/>
        <w:ind w:firstLine="0" w:firstLineChars="0"/>
        <w:rPr>
          <w:b/>
          <w:bCs/>
          <w:sz w:val="24"/>
          <w:szCs w:val="24"/>
        </w:rPr>
      </w:pPr>
      <w:bookmarkStart w:id="0" w:name="_GoBack"/>
      <w:bookmarkEnd w:id="0"/>
      <w:r>
        <w:rPr>
          <w:rFonts w:hint="eastAsia"/>
          <w:b/>
          <w:bCs/>
          <w:sz w:val="24"/>
          <w:szCs w:val="24"/>
        </w:rPr>
        <w:t>六、评分细则：</w:t>
      </w:r>
    </w:p>
    <w:tbl>
      <w:tblPr>
        <w:tblStyle w:val="6"/>
        <w:tblW w:w="10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2"/>
        <w:gridCol w:w="1137"/>
        <w:gridCol w:w="704"/>
        <w:gridCol w:w="4996"/>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1112"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序</w:t>
            </w:r>
          </w:p>
          <w:p>
            <w:pPr>
              <w:pStyle w:val="10"/>
              <w:spacing w:line="320" w:lineRule="exact"/>
              <w:jc w:val="center"/>
              <w:rPr>
                <w:rFonts w:ascii="等线" w:hAnsi="等线" w:eastAsia="等线" w:cs="等线"/>
                <w:szCs w:val="21"/>
              </w:rPr>
            </w:pPr>
            <w:r>
              <w:rPr>
                <w:rFonts w:hint="eastAsia" w:ascii="等线" w:hAnsi="等线" w:eastAsia="等线" w:cs="等线"/>
                <w:szCs w:val="21"/>
              </w:rPr>
              <w:t>号</w:t>
            </w:r>
          </w:p>
        </w:tc>
        <w:tc>
          <w:tcPr>
            <w:tcW w:w="1137"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评分</w:t>
            </w:r>
          </w:p>
          <w:p>
            <w:pPr>
              <w:pStyle w:val="10"/>
              <w:spacing w:line="320" w:lineRule="exact"/>
              <w:jc w:val="center"/>
              <w:rPr>
                <w:rFonts w:ascii="等线" w:hAnsi="等线" w:eastAsia="等线" w:cs="等线"/>
                <w:szCs w:val="21"/>
              </w:rPr>
            </w:pPr>
            <w:r>
              <w:rPr>
                <w:rFonts w:hint="eastAsia" w:ascii="等线" w:hAnsi="等线" w:eastAsia="等线" w:cs="等线"/>
                <w:szCs w:val="21"/>
              </w:rPr>
              <w:t>因素</w:t>
            </w:r>
          </w:p>
        </w:tc>
        <w:tc>
          <w:tcPr>
            <w:tcW w:w="704"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分值</w:t>
            </w:r>
          </w:p>
        </w:tc>
        <w:tc>
          <w:tcPr>
            <w:tcW w:w="4996" w:type="dxa"/>
            <w:noWrap/>
          </w:tcPr>
          <w:p>
            <w:pPr>
              <w:pStyle w:val="10"/>
              <w:spacing w:line="320" w:lineRule="exact"/>
              <w:jc w:val="center"/>
              <w:rPr>
                <w:rFonts w:ascii="等线" w:hAnsi="等线" w:eastAsia="等线" w:cs="等线"/>
                <w:szCs w:val="21"/>
              </w:rPr>
            </w:pPr>
            <w:r>
              <w:rPr>
                <w:rFonts w:hint="eastAsia" w:ascii="等线" w:hAnsi="等线" w:eastAsia="等线" w:cs="等线"/>
                <w:szCs w:val="21"/>
              </w:rPr>
              <w:t>评分标准</w:t>
            </w:r>
          </w:p>
        </w:tc>
        <w:tc>
          <w:tcPr>
            <w:tcW w:w="2109"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12"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1</w:t>
            </w:r>
          </w:p>
        </w:tc>
        <w:tc>
          <w:tcPr>
            <w:tcW w:w="1137"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报价</w:t>
            </w:r>
          </w:p>
          <w:p>
            <w:pPr>
              <w:pStyle w:val="10"/>
              <w:spacing w:line="320" w:lineRule="exact"/>
              <w:jc w:val="center"/>
              <w:rPr>
                <w:rFonts w:ascii="等线" w:hAnsi="等线" w:eastAsia="等线" w:cs="等线"/>
                <w:szCs w:val="21"/>
              </w:rPr>
            </w:pPr>
            <w:r>
              <w:rPr>
                <w:rFonts w:ascii="等线" w:hAnsi="等线" w:eastAsia="等线" w:cs="等线"/>
                <w:szCs w:val="21"/>
              </w:rPr>
              <w:t>15</w:t>
            </w:r>
            <w:r>
              <w:rPr>
                <w:rFonts w:hint="eastAsia" w:ascii="等线" w:hAnsi="等线" w:eastAsia="等线" w:cs="等线"/>
                <w:szCs w:val="21"/>
              </w:rPr>
              <w:t>%</w:t>
            </w:r>
          </w:p>
        </w:tc>
        <w:tc>
          <w:tcPr>
            <w:tcW w:w="704"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ascii="等线" w:hAnsi="等线" w:eastAsia="等线" w:cs="等线"/>
                <w:szCs w:val="21"/>
              </w:rPr>
              <w:t>15</w:t>
            </w:r>
            <w:r>
              <w:rPr>
                <w:rFonts w:hint="eastAsia" w:ascii="等线" w:hAnsi="等线" w:eastAsia="等线" w:cs="等线"/>
                <w:szCs w:val="21"/>
              </w:rPr>
              <w:t>分</w:t>
            </w:r>
          </w:p>
        </w:tc>
        <w:tc>
          <w:tcPr>
            <w:tcW w:w="4996" w:type="dxa"/>
            <w:noWrap/>
            <w:vAlign w:val="center"/>
          </w:tcPr>
          <w:p>
            <w:pPr>
              <w:pStyle w:val="2"/>
              <w:spacing w:line="320" w:lineRule="exact"/>
              <w:jc w:val="center"/>
              <w:rPr>
                <w:rFonts w:ascii="等线" w:hAnsi="等线" w:eastAsia="等线" w:cs="等线"/>
                <w:szCs w:val="21"/>
              </w:rPr>
            </w:pPr>
            <w:r>
              <w:rPr>
                <w:rFonts w:hint="eastAsia" w:ascii="等线" w:hAnsi="等线" w:eastAsia="等线" w:cs="等线"/>
              </w:rPr>
              <w:t>以满足招标文件要求且投标价格最低的投标报价为评标基准价，其他投标人的价格分统一按照下列公式计算：投标报价得分=（评标基准价/投标报价）×</w:t>
            </w:r>
            <w:r>
              <w:rPr>
                <w:rFonts w:ascii="等线" w:hAnsi="等线" w:eastAsia="等线" w:cs="等线"/>
              </w:rPr>
              <w:t>15</w:t>
            </w:r>
            <w:r>
              <w:rPr>
                <w:rFonts w:hint="eastAsia" w:ascii="等线" w:hAnsi="等线" w:eastAsia="等线" w:cs="等线"/>
              </w:rPr>
              <w:t>；</w:t>
            </w:r>
          </w:p>
        </w:tc>
        <w:tc>
          <w:tcPr>
            <w:tcW w:w="2109" w:type="dxa"/>
            <w:noWrap/>
          </w:tcPr>
          <w:p>
            <w:pPr>
              <w:pStyle w:val="10"/>
              <w:spacing w:line="320" w:lineRule="exact"/>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以供应商所报单价作为评审依据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5" w:hRule="atLeast"/>
          <w:jc w:val="center"/>
        </w:trPr>
        <w:tc>
          <w:tcPr>
            <w:tcW w:w="1112"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2</w:t>
            </w:r>
          </w:p>
        </w:tc>
        <w:tc>
          <w:tcPr>
            <w:tcW w:w="1137"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技术服务要求</w:t>
            </w:r>
            <w:r>
              <w:rPr>
                <w:rFonts w:ascii="等线" w:hAnsi="等线" w:eastAsia="等线" w:cs="等线"/>
                <w:szCs w:val="21"/>
              </w:rPr>
              <w:t>15</w:t>
            </w:r>
            <w:r>
              <w:rPr>
                <w:rFonts w:hint="eastAsia" w:ascii="等线" w:hAnsi="等线" w:eastAsia="等线" w:cs="等线"/>
                <w:szCs w:val="21"/>
              </w:rPr>
              <w:t>%</w:t>
            </w:r>
          </w:p>
        </w:tc>
        <w:tc>
          <w:tcPr>
            <w:tcW w:w="704" w:type="dxa"/>
            <w:noWrap/>
            <w:vAlign w:val="center"/>
          </w:tcPr>
          <w:p>
            <w:pPr>
              <w:pStyle w:val="10"/>
              <w:spacing w:line="320" w:lineRule="exact"/>
              <w:jc w:val="center"/>
              <w:rPr>
                <w:rFonts w:ascii="等线" w:hAnsi="等线" w:eastAsia="等线" w:cs="等线"/>
                <w:szCs w:val="21"/>
              </w:rPr>
            </w:pPr>
            <w:r>
              <w:rPr>
                <w:rFonts w:ascii="等线" w:hAnsi="等线" w:eastAsia="等线" w:cs="等线"/>
                <w:szCs w:val="21"/>
              </w:rPr>
              <w:t>15</w:t>
            </w:r>
            <w:r>
              <w:rPr>
                <w:rFonts w:hint="eastAsia" w:ascii="等线" w:hAnsi="等线" w:eastAsia="等线" w:cs="等线"/>
                <w:szCs w:val="21"/>
              </w:rPr>
              <w:t>分</w:t>
            </w:r>
          </w:p>
        </w:tc>
        <w:tc>
          <w:tcPr>
            <w:tcW w:w="4996" w:type="dxa"/>
            <w:noWrap/>
            <w:vAlign w:val="center"/>
          </w:tcPr>
          <w:p>
            <w:pPr>
              <w:pStyle w:val="10"/>
              <w:spacing w:line="320" w:lineRule="exact"/>
              <w:rPr>
                <w:rFonts w:ascii="等线" w:hAnsi="等线" w:eastAsia="等线" w:cs="等线"/>
                <w:szCs w:val="21"/>
              </w:rPr>
            </w:pPr>
            <w:r>
              <w:rPr>
                <w:rFonts w:hint="eastAsia" w:ascii="等线" w:hAnsi="等线" w:eastAsia="等线" w:cs="等线"/>
                <w:szCs w:val="24"/>
                <w:lang w:val="en-US" w:bidi="ar-SA"/>
              </w:rPr>
              <w:t>本项目检测方式中核心引物、适用人群，内控指标，检测特异性，精密度以上5项指标，完全满足招标文件要求的得15分，每有1 项不满足或负偏离扣5分，扣完为止；</w:t>
            </w:r>
          </w:p>
        </w:tc>
        <w:tc>
          <w:tcPr>
            <w:tcW w:w="2109"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提供证明材料予以佐证，未提供不得分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3" w:hRule="atLeast"/>
          <w:jc w:val="center"/>
        </w:trPr>
        <w:tc>
          <w:tcPr>
            <w:tcW w:w="1112" w:type="dxa"/>
            <w:noWrap/>
            <w:vAlign w:val="center"/>
          </w:tcPr>
          <w:p>
            <w:pPr>
              <w:pStyle w:val="10"/>
              <w:spacing w:line="320" w:lineRule="exact"/>
              <w:jc w:val="center"/>
              <w:rPr>
                <w:rFonts w:ascii="等线" w:hAnsi="等线" w:eastAsia="等线" w:cs="等线"/>
                <w:szCs w:val="21"/>
                <w:lang w:val="en-US"/>
              </w:rPr>
            </w:pPr>
            <w:r>
              <w:rPr>
                <w:rFonts w:hint="eastAsia" w:ascii="等线" w:hAnsi="等线" w:eastAsia="等线" w:cs="等线"/>
                <w:szCs w:val="21"/>
                <w:lang w:val="en-US"/>
              </w:rPr>
              <w:t>3</w:t>
            </w:r>
          </w:p>
        </w:tc>
        <w:tc>
          <w:tcPr>
            <w:tcW w:w="1137"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 xml:space="preserve">服务方案 </w:t>
            </w:r>
            <w:r>
              <w:rPr>
                <w:rFonts w:hint="eastAsia" w:ascii="等线" w:hAnsi="等线" w:eastAsia="等线" w:cs="等线"/>
                <w:szCs w:val="21"/>
                <w:lang w:val="en-US"/>
              </w:rPr>
              <w:t>30</w:t>
            </w:r>
            <w:r>
              <w:rPr>
                <w:rFonts w:hint="eastAsia" w:ascii="等线" w:hAnsi="等线" w:eastAsia="等线" w:cs="等线"/>
                <w:szCs w:val="21"/>
              </w:rPr>
              <w:t>%</w:t>
            </w:r>
          </w:p>
        </w:tc>
        <w:tc>
          <w:tcPr>
            <w:tcW w:w="704"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lang w:val="en-US"/>
              </w:rPr>
              <w:t>30</w:t>
            </w:r>
            <w:r>
              <w:rPr>
                <w:rFonts w:hint="eastAsia" w:ascii="等线" w:hAnsi="等线" w:eastAsia="等线" w:cs="等线"/>
                <w:szCs w:val="21"/>
              </w:rPr>
              <w:t>分</w:t>
            </w:r>
          </w:p>
        </w:tc>
        <w:tc>
          <w:tcPr>
            <w:tcW w:w="4996" w:type="dxa"/>
            <w:noWrap/>
          </w:tcPr>
          <w:p>
            <w:pPr>
              <w:pStyle w:val="10"/>
              <w:numPr>
                <w:ilvl w:val="0"/>
                <w:numId w:val="5"/>
              </w:numPr>
              <w:spacing w:line="320" w:lineRule="exact"/>
              <w:ind w:firstLine="0"/>
              <w:rPr>
                <w:rFonts w:ascii="等线" w:hAnsi="等线" w:eastAsia="等线" w:cs="等线"/>
                <w:szCs w:val="24"/>
                <w:lang w:val="en-US" w:bidi="ar-SA"/>
              </w:rPr>
            </w:pPr>
            <w:r>
              <w:rPr>
                <w:rFonts w:hint="eastAsia" w:ascii="等线" w:hAnsi="等线" w:eastAsia="等线" w:cs="等线"/>
                <w:szCs w:val="24"/>
                <w:lang w:val="en-US" w:bidi="ar-SA"/>
              </w:rPr>
              <w:t>根据本次项目服务要求，编制实施方案：包含但不仅限于以下内容：标本接收流程、标本运输方案、标准操作程序、发送检测结果报告方法、出报告时间安排、检测报告模板、质量控制指标等内容，内容科学合理且完整体现上述方案的得 14 分，以上内容每缺一项扣3分，扣完为止；每项中存在 1 处不合理的扣 1 分，每项 3 分扣完为止；</w:t>
            </w:r>
          </w:p>
          <w:p>
            <w:pPr>
              <w:pStyle w:val="10"/>
              <w:numPr>
                <w:ilvl w:val="0"/>
                <w:numId w:val="5"/>
              </w:numPr>
              <w:spacing w:line="320" w:lineRule="exact"/>
              <w:ind w:firstLine="0"/>
              <w:rPr>
                <w:rFonts w:ascii="等线" w:hAnsi="等线" w:eastAsia="等线" w:cs="等线"/>
                <w:szCs w:val="24"/>
                <w:lang w:val="en-US" w:bidi="ar-SA"/>
              </w:rPr>
            </w:pPr>
            <w:r>
              <w:rPr>
                <w:rFonts w:hint="eastAsia" w:ascii="等线" w:hAnsi="等线" w:eastAsia="等线" w:cs="等线"/>
                <w:szCs w:val="24"/>
                <w:lang w:val="en-US" w:bidi="ar-SA"/>
              </w:rPr>
              <w:t>根据本次项目服务要求，编制售后应急服务方案：包含但不仅限于以下内容：结果异议、报告丢失、标本丢失、提供特急标本优先加急特事特办服务等内容，内容科学合理且完整体现上述方案的得 8 分，以上内容每缺一项扣 2分，扣完为止；</w:t>
            </w:r>
          </w:p>
          <w:p>
            <w:pPr>
              <w:pStyle w:val="10"/>
              <w:numPr>
                <w:ilvl w:val="0"/>
                <w:numId w:val="5"/>
              </w:numPr>
              <w:spacing w:line="320" w:lineRule="exact"/>
              <w:ind w:firstLine="0"/>
              <w:rPr>
                <w:rFonts w:ascii="等线" w:hAnsi="等线" w:eastAsia="等线" w:cs="等线"/>
                <w:szCs w:val="21"/>
              </w:rPr>
            </w:pPr>
            <w:r>
              <w:rPr>
                <w:rFonts w:hint="eastAsia" w:ascii="等线" w:hAnsi="等线" w:eastAsia="等线" w:cs="等线"/>
                <w:szCs w:val="24"/>
                <w:lang w:val="en-US" w:bidi="ar-SA"/>
              </w:rPr>
              <w:t>根据本次项目服务要求，编制增值服务方案，每提供 1项满足招标要求且符合本次采购项目实际需求的增值服务加2分，最多加8分。（注：合理是指实施方案不存在不适用项目实际情况、凭空捏造、套用其他无关内容、逻辑漏洞、科学原理错误、内容不完整、实用性差以及与本项目无关等情况）。</w:t>
            </w:r>
          </w:p>
        </w:tc>
        <w:tc>
          <w:tcPr>
            <w:tcW w:w="2109" w:type="dxa"/>
            <w:noWrap/>
          </w:tcPr>
          <w:p>
            <w:pPr>
              <w:pStyle w:val="10"/>
              <w:spacing w:line="320" w:lineRule="exact"/>
              <w:rPr>
                <w:rFonts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4" w:hRule="atLeast"/>
          <w:jc w:val="center"/>
        </w:trPr>
        <w:tc>
          <w:tcPr>
            <w:tcW w:w="1112" w:type="dxa"/>
            <w:noWrap/>
            <w:vAlign w:val="center"/>
          </w:tcPr>
          <w:p>
            <w:pPr>
              <w:pStyle w:val="10"/>
              <w:spacing w:line="320" w:lineRule="exact"/>
              <w:jc w:val="center"/>
              <w:rPr>
                <w:rFonts w:ascii="等线" w:hAnsi="等线" w:eastAsia="等线" w:cs="等线"/>
                <w:szCs w:val="21"/>
                <w:lang w:val="en-US"/>
              </w:rPr>
            </w:pPr>
            <w:r>
              <w:rPr>
                <w:rFonts w:hint="eastAsia" w:ascii="等线" w:hAnsi="等线" w:eastAsia="等线" w:cs="等线"/>
                <w:szCs w:val="21"/>
                <w:lang w:val="en-US"/>
              </w:rPr>
              <w:t>4</w:t>
            </w:r>
          </w:p>
        </w:tc>
        <w:tc>
          <w:tcPr>
            <w:tcW w:w="1137"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hint="eastAsia" w:ascii="等线" w:hAnsi="等线" w:eastAsia="等线" w:cs="等线"/>
                <w:szCs w:val="21"/>
              </w:rPr>
              <w:t xml:space="preserve">履约能力 </w:t>
            </w:r>
            <w:r>
              <w:rPr>
                <w:rFonts w:hint="eastAsia" w:ascii="等线" w:hAnsi="等线" w:eastAsia="等线" w:cs="等线"/>
                <w:szCs w:val="21"/>
                <w:lang w:val="en-US"/>
              </w:rPr>
              <w:t>38</w:t>
            </w:r>
            <w:r>
              <w:rPr>
                <w:rFonts w:hint="eastAsia" w:ascii="等线" w:hAnsi="等线" w:eastAsia="等线" w:cs="等线"/>
                <w:szCs w:val="21"/>
              </w:rPr>
              <w:t>%</w:t>
            </w:r>
          </w:p>
        </w:tc>
        <w:tc>
          <w:tcPr>
            <w:tcW w:w="704"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rPr>
            </w:pPr>
            <w:r>
              <w:rPr>
                <w:rFonts w:ascii="等线" w:hAnsi="等线" w:eastAsia="等线" w:cs="等线"/>
                <w:szCs w:val="21"/>
              </w:rPr>
              <w:t>38</w:t>
            </w:r>
            <w:r>
              <w:rPr>
                <w:rFonts w:hint="eastAsia" w:ascii="等线" w:hAnsi="等线" w:eastAsia="等线" w:cs="等线"/>
                <w:szCs w:val="21"/>
              </w:rPr>
              <w:t>分</w:t>
            </w:r>
          </w:p>
        </w:tc>
        <w:tc>
          <w:tcPr>
            <w:tcW w:w="4996" w:type="dxa"/>
            <w:noWrap/>
          </w:tcPr>
          <w:p>
            <w:pPr>
              <w:pStyle w:val="10"/>
              <w:numPr>
                <w:ilvl w:val="0"/>
                <w:numId w:val="6"/>
              </w:numPr>
              <w:spacing w:line="320" w:lineRule="exact"/>
              <w:ind w:firstLine="0"/>
              <w:rPr>
                <w:rFonts w:ascii="等线" w:hAnsi="等线" w:eastAsia="等线" w:cs="等线"/>
                <w:szCs w:val="24"/>
                <w:lang w:val="en-US" w:bidi="ar-SA"/>
              </w:rPr>
            </w:pPr>
            <w:r>
              <w:rPr>
                <w:rFonts w:hint="eastAsia" w:ascii="等线" w:hAnsi="等线" w:eastAsia="等线" w:cs="等线"/>
                <w:szCs w:val="24"/>
                <w:lang w:val="en-US" w:bidi="ar-SA"/>
              </w:rPr>
              <w:t>2021年1月1日至今，检测单位每提供1家医院服务业绩的得3分，最多得10分（提供合同复印件证明材料，未提供不得分。注：同类业绩是指与本项目一致的检测类型；提供2家三级医院服务业绩的得5分；提供3家三级医院服务业绩的得7分，提供4家三级医院服务业绩的得10分。</w:t>
            </w:r>
          </w:p>
          <w:p>
            <w:pPr>
              <w:pStyle w:val="10"/>
              <w:numPr>
                <w:ilvl w:val="0"/>
                <w:numId w:val="6"/>
              </w:numPr>
              <w:spacing w:line="320" w:lineRule="exact"/>
              <w:ind w:firstLine="0"/>
              <w:rPr>
                <w:rFonts w:ascii="等线" w:hAnsi="等线" w:eastAsia="等线" w:cs="等线"/>
                <w:b/>
                <w:szCs w:val="24"/>
                <w:lang w:val="en-US" w:bidi="ar-SA"/>
              </w:rPr>
            </w:pPr>
            <w:r>
              <w:rPr>
                <w:rFonts w:hint="eastAsia" w:ascii="等线" w:hAnsi="等线" w:eastAsia="等线" w:cs="等线"/>
                <w:szCs w:val="24"/>
                <w:lang w:val="en-US" w:bidi="ar-SA"/>
              </w:rPr>
              <w:t>2022年1月1日至今，检测单位每获得1次实验室室间质评证书的得3分，最多得9分，（提供证明材料，未提供不得分。注：同一年度不重复计分）。</w:t>
            </w:r>
          </w:p>
          <w:p>
            <w:pPr>
              <w:pStyle w:val="10"/>
              <w:numPr>
                <w:ilvl w:val="0"/>
                <w:numId w:val="6"/>
              </w:numPr>
              <w:spacing w:line="320" w:lineRule="exact"/>
              <w:ind w:firstLine="0"/>
              <w:rPr>
                <w:rFonts w:ascii="等线" w:hAnsi="等线" w:eastAsia="等线" w:cs="等线"/>
                <w:szCs w:val="21"/>
              </w:rPr>
            </w:pPr>
            <w:r>
              <w:rPr>
                <w:rFonts w:hint="eastAsia" w:ascii="等线" w:hAnsi="等线" w:eastAsia="等线" w:cs="等线"/>
                <w:szCs w:val="24"/>
                <w:lang w:val="en-US" w:bidi="ar-SA"/>
              </w:rPr>
              <w:t>检测单位获得的国家卫生主管部门授予的“个体化医学检测试点单位”的得6分（提供证书复印件，未提供不得分）；</w:t>
            </w:r>
          </w:p>
          <w:p>
            <w:pPr>
              <w:pStyle w:val="10"/>
              <w:numPr>
                <w:ilvl w:val="0"/>
                <w:numId w:val="6"/>
              </w:numPr>
              <w:spacing w:line="320" w:lineRule="exact"/>
              <w:ind w:firstLine="0"/>
              <w:rPr>
                <w:rFonts w:ascii="等线" w:hAnsi="等线" w:eastAsia="等线" w:cs="等线"/>
                <w:szCs w:val="21"/>
              </w:rPr>
            </w:pPr>
            <w:r>
              <w:rPr>
                <w:rFonts w:hint="eastAsia" w:ascii="等线" w:hAnsi="等线" w:eastAsia="等线" w:cs="等线"/>
                <w:szCs w:val="24"/>
                <w:lang w:val="en-US" w:bidi="ar-SA"/>
              </w:rPr>
              <w:t>检测单位具备一定的生物信息分析能力，在北大核心期刊每发表一篇相关文献得2分，最高得8分（提供文章首页等证明文件，未提供不得分）</w:t>
            </w:r>
          </w:p>
          <w:p>
            <w:pPr>
              <w:pStyle w:val="10"/>
              <w:numPr>
                <w:ilvl w:val="0"/>
                <w:numId w:val="6"/>
              </w:numPr>
              <w:spacing w:line="320" w:lineRule="exact"/>
              <w:ind w:firstLine="0"/>
              <w:rPr>
                <w:rFonts w:ascii="等线" w:hAnsi="等线" w:eastAsia="等线" w:cs="等线"/>
                <w:szCs w:val="21"/>
              </w:rPr>
            </w:pPr>
            <w:r>
              <w:rPr>
                <w:rFonts w:hint="eastAsia" w:ascii="等线" w:hAnsi="等线" w:eastAsia="等线" w:cs="等线"/>
                <w:szCs w:val="24"/>
                <w:lang w:val="en-US" w:bidi="ar-SA"/>
              </w:rPr>
              <w:t>检测单位提供的检测方法具有专利证书的得 5分，（注：由于专利发明申请不属于获批的专利证明材料，因此需提供知识产权局颁发的专利证书复印件做证明材料，未提供不得分）；</w:t>
            </w:r>
          </w:p>
        </w:tc>
        <w:tc>
          <w:tcPr>
            <w:tcW w:w="2109" w:type="dxa"/>
            <w:noWrap/>
          </w:tcPr>
          <w:p>
            <w:pPr>
              <w:pStyle w:val="10"/>
              <w:spacing w:line="320" w:lineRule="exact"/>
              <w:rPr>
                <w:rFonts w:ascii="微软雅黑" w:hAnsi="微软雅黑" w:eastAsia="微软雅黑"/>
                <w:color w:val="333333"/>
                <w:sz w:val="14"/>
                <w:szCs w:val="14"/>
                <w:shd w:val="clear" w:color="auto" w:fill="FEFEFE"/>
              </w:rPr>
            </w:pPr>
          </w:p>
          <w:p>
            <w:pPr>
              <w:pStyle w:val="10"/>
              <w:spacing w:line="320" w:lineRule="exact"/>
              <w:rPr>
                <w:rFonts w:ascii="等线" w:hAnsi="等线" w:eastAsia="等线" w:cs="等线"/>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112" w:type="dxa"/>
            <w:noWrap/>
            <w:vAlign w:val="center"/>
          </w:tcPr>
          <w:p>
            <w:pPr>
              <w:pStyle w:val="10"/>
              <w:spacing w:line="320" w:lineRule="exact"/>
              <w:jc w:val="center"/>
              <w:rPr>
                <w:rFonts w:ascii="等线" w:hAnsi="等线" w:eastAsia="等线" w:cs="等线"/>
                <w:b/>
                <w:szCs w:val="21"/>
              </w:rPr>
            </w:pPr>
          </w:p>
          <w:p>
            <w:pPr>
              <w:pStyle w:val="10"/>
              <w:spacing w:line="320" w:lineRule="exact"/>
              <w:jc w:val="center"/>
              <w:rPr>
                <w:rFonts w:ascii="等线" w:hAnsi="等线" w:eastAsia="等线" w:cs="等线"/>
                <w:szCs w:val="21"/>
                <w:lang w:val="en-US"/>
              </w:rPr>
            </w:pPr>
            <w:r>
              <w:rPr>
                <w:rFonts w:hint="eastAsia" w:ascii="等线" w:hAnsi="等线" w:eastAsia="等线" w:cs="等线"/>
                <w:szCs w:val="21"/>
                <w:lang w:val="en-US"/>
              </w:rPr>
              <w:t>5</w:t>
            </w:r>
          </w:p>
        </w:tc>
        <w:tc>
          <w:tcPr>
            <w:tcW w:w="1137"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投标文件规范2%</w:t>
            </w:r>
          </w:p>
        </w:tc>
        <w:tc>
          <w:tcPr>
            <w:tcW w:w="704" w:type="dxa"/>
            <w:noWrap/>
            <w:vAlign w:val="center"/>
          </w:tcPr>
          <w:p>
            <w:pPr>
              <w:pStyle w:val="10"/>
              <w:spacing w:line="320" w:lineRule="exact"/>
              <w:jc w:val="center"/>
              <w:rPr>
                <w:rFonts w:ascii="等线" w:hAnsi="等线" w:eastAsia="等线" w:cs="等线"/>
                <w:szCs w:val="21"/>
              </w:rPr>
            </w:pPr>
            <w:r>
              <w:rPr>
                <w:rFonts w:hint="eastAsia" w:ascii="等线" w:hAnsi="等线" w:eastAsia="等线" w:cs="等线"/>
                <w:szCs w:val="21"/>
              </w:rPr>
              <w:t>2 分</w:t>
            </w:r>
          </w:p>
        </w:tc>
        <w:tc>
          <w:tcPr>
            <w:tcW w:w="4996" w:type="dxa"/>
            <w:noWrap/>
          </w:tcPr>
          <w:p>
            <w:pPr>
              <w:pStyle w:val="10"/>
              <w:spacing w:line="320" w:lineRule="exact"/>
              <w:rPr>
                <w:rFonts w:ascii="等线" w:hAnsi="等线" w:eastAsia="等线" w:cs="等线"/>
                <w:szCs w:val="21"/>
              </w:rPr>
            </w:pPr>
            <w:r>
              <w:rPr>
                <w:rFonts w:hint="eastAsia" w:ascii="等线" w:hAnsi="等线" w:eastAsia="等线" w:cs="等线"/>
                <w:szCs w:val="24"/>
                <w:lang w:val="en-US" w:bidi="ar-SA"/>
              </w:rPr>
              <w:t>投标文件制作规范，没有细微偏差情形的得 2 分；有一项细微偏差扣 0.5 分，直至该项分值扣完为止。</w:t>
            </w:r>
          </w:p>
        </w:tc>
        <w:tc>
          <w:tcPr>
            <w:tcW w:w="2109" w:type="dxa"/>
            <w:noWrap/>
          </w:tcPr>
          <w:p>
            <w:pPr>
              <w:pStyle w:val="10"/>
              <w:spacing w:line="320" w:lineRule="exact"/>
              <w:rPr>
                <w:rFonts w:ascii="等线" w:hAnsi="等线" w:eastAsia="等线" w:cs="等线"/>
                <w:szCs w:val="21"/>
              </w:rPr>
            </w:pPr>
          </w:p>
        </w:tc>
      </w:tr>
    </w:tbl>
    <w:p>
      <w:pPr>
        <w:pStyle w:val="9"/>
        <w:spacing w:line="360" w:lineRule="auto"/>
        <w:ind w:left="420" w:leftChars="200" w:firstLine="0" w:firstLineChars="0"/>
        <w:rPr>
          <w:b/>
          <w:bCs/>
          <w:sz w:val="24"/>
          <w:szCs w:val="24"/>
        </w:rPr>
      </w:pPr>
    </w:p>
    <w:sectPr>
      <w:footerReference r:id="rId3" w:type="default"/>
      <w:pgSz w:w="11906" w:h="16838"/>
      <w:pgMar w:top="1134" w:right="567" w:bottom="1134"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880733"/>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BFCBB"/>
    <w:multiLevelType w:val="singleLevel"/>
    <w:tmpl w:val="A46BFCBB"/>
    <w:lvl w:ilvl="0" w:tentative="0">
      <w:start w:val="1"/>
      <w:numFmt w:val="decimal"/>
      <w:suff w:val="nothing"/>
      <w:lvlText w:val="%1．"/>
      <w:lvlJc w:val="left"/>
      <w:pPr>
        <w:ind w:left="0" w:firstLine="400"/>
      </w:pPr>
      <w:rPr>
        <w:rFonts w:hint="default"/>
      </w:rPr>
    </w:lvl>
  </w:abstractNum>
  <w:abstractNum w:abstractNumId="1">
    <w:nsid w:val="00000001"/>
    <w:multiLevelType w:val="multilevel"/>
    <w:tmpl w:val="00000001"/>
    <w:lvl w:ilvl="0" w:tentative="0">
      <w:start w:val="4"/>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323D95E"/>
    <w:multiLevelType w:val="singleLevel"/>
    <w:tmpl w:val="5323D95E"/>
    <w:lvl w:ilvl="0" w:tentative="0">
      <w:start w:val="4"/>
      <w:numFmt w:val="decimal"/>
      <w:suff w:val="space"/>
      <w:lvlText w:val="(%1)"/>
      <w:lvlJc w:val="left"/>
    </w:lvl>
  </w:abstractNum>
  <w:abstractNum w:abstractNumId="3">
    <w:nsid w:val="54EA0E56"/>
    <w:multiLevelType w:val="singleLevel"/>
    <w:tmpl w:val="54EA0E56"/>
    <w:lvl w:ilvl="0" w:tentative="0">
      <w:start w:val="1"/>
      <w:numFmt w:val="decimal"/>
      <w:suff w:val="nothing"/>
      <w:lvlText w:val="%1．"/>
      <w:lvlJc w:val="left"/>
      <w:pPr>
        <w:ind w:left="0" w:firstLine="400"/>
      </w:pPr>
      <w:rPr>
        <w:rFonts w:hint="default"/>
      </w:rPr>
    </w:lvl>
  </w:abstractNum>
  <w:abstractNum w:abstractNumId="4">
    <w:nsid w:val="66725E88"/>
    <w:multiLevelType w:val="multilevel"/>
    <w:tmpl w:val="66725E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EF343E"/>
    <w:multiLevelType w:val="singleLevel"/>
    <w:tmpl w:val="69EF343E"/>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0MTg0NzQ0YmI2OTZjOGJlZGZkNTAzYjYzY2NiNWUifQ=="/>
  </w:docVars>
  <w:rsids>
    <w:rsidRoot w:val="00DE2780"/>
    <w:rsid w:val="00034D36"/>
    <w:rsid w:val="0006539D"/>
    <w:rsid w:val="000E3100"/>
    <w:rsid w:val="00117EF6"/>
    <w:rsid w:val="0017237E"/>
    <w:rsid w:val="00182F94"/>
    <w:rsid w:val="0021309A"/>
    <w:rsid w:val="00251340"/>
    <w:rsid w:val="0026652F"/>
    <w:rsid w:val="00306C44"/>
    <w:rsid w:val="003F0D2B"/>
    <w:rsid w:val="00405465"/>
    <w:rsid w:val="004C4ACD"/>
    <w:rsid w:val="005035B8"/>
    <w:rsid w:val="0068054C"/>
    <w:rsid w:val="006C37EE"/>
    <w:rsid w:val="007A5020"/>
    <w:rsid w:val="008D6A72"/>
    <w:rsid w:val="00914916"/>
    <w:rsid w:val="009318DF"/>
    <w:rsid w:val="00965DFD"/>
    <w:rsid w:val="00A22D47"/>
    <w:rsid w:val="00A63C4C"/>
    <w:rsid w:val="00C45778"/>
    <w:rsid w:val="00C55597"/>
    <w:rsid w:val="00C90E51"/>
    <w:rsid w:val="00D65964"/>
    <w:rsid w:val="00D7147E"/>
    <w:rsid w:val="00DB71E8"/>
    <w:rsid w:val="00DE2780"/>
    <w:rsid w:val="00E06D0F"/>
    <w:rsid w:val="00E72A2B"/>
    <w:rsid w:val="09D10A4E"/>
    <w:rsid w:val="09EE6208"/>
    <w:rsid w:val="0E4A2AF5"/>
    <w:rsid w:val="1EB1090C"/>
    <w:rsid w:val="322A1FA5"/>
    <w:rsid w:val="350607E9"/>
    <w:rsid w:val="36160F00"/>
    <w:rsid w:val="39EA3CC1"/>
    <w:rsid w:val="39FB56B7"/>
    <w:rsid w:val="59D25321"/>
    <w:rsid w:val="5D9C27C5"/>
    <w:rsid w:val="5F8654D6"/>
    <w:rsid w:val="5FDA1E6E"/>
    <w:rsid w:val="60C54708"/>
    <w:rsid w:val="6A542D85"/>
    <w:rsid w:val="6D5D0BE7"/>
    <w:rsid w:val="6DCD0EB8"/>
    <w:rsid w:val="6E9C4E7A"/>
    <w:rsid w:val="70633FA5"/>
    <w:rsid w:val="73DFFD81"/>
    <w:rsid w:val="75885973"/>
    <w:rsid w:val="77D55640"/>
    <w:rsid w:val="78197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Table Paragraph"/>
    <w:basedOn w:val="1"/>
    <w:qFormat/>
    <w:uiPriority w:val="1"/>
    <w:rPr>
      <w:rFonts w:ascii="宋体" w:hAnsi="宋体" w:eastAsia="宋体" w:cs="宋体"/>
      <w:lang w:val="zh-CN" w:bidi="zh-CN"/>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646</Words>
  <Characters>3683</Characters>
  <Lines>30</Lines>
  <Paragraphs>8</Paragraphs>
  <TotalTime>1</TotalTime>
  <ScaleCrop>false</ScaleCrop>
  <LinksUpToDate>false</LinksUpToDate>
  <CharactersWithSpaces>4321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2023-11-10T19:14:00Z</dcterms:created>
  <dc:creator>USER</dc:creator>
  <cp:lastModifiedBy>江医罗玲15881637860</cp:lastModifiedBy>
  <cp:lastPrinted>2023-11-17T03:10:00Z</cp:lastPrinted>
  <dcterms:modified xsi:type="dcterms:W3CDTF">2023-12-04T07:17:51Z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A68C2D30B24C471D8D4BEE8F165784ED_13</vt:lpwstr>
  </property>
</Properties>
</file>