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562" w:leftChars="0"/>
        <w:jc w:val="center"/>
        <w:rPr>
          <w:rFonts w:hint="eastAsia" w:ascii="宋体" w:hAnsi="宋体"/>
          <w:b/>
          <w:sz w:val="36"/>
          <w:szCs w:val="28"/>
          <w:lang w:val="en-US" w:eastAsia="zh-CN"/>
        </w:rPr>
      </w:pPr>
      <w:bookmarkStart w:id="0" w:name="_GoBack"/>
      <w:bookmarkEnd w:id="0"/>
      <w:r>
        <w:rPr>
          <w:rFonts w:hint="eastAsia" w:ascii="宋体" w:hAnsi="宋体"/>
          <w:b/>
          <w:sz w:val="36"/>
          <w:szCs w:val="28"/>
          <w:lang w:val="en-US" w:eastAsia="zh-CN"/>
        </w:rPr>
        <w:t>江油市人民医院</w:t>
      </w:r>
    </w:p>
    <w:p>
      <w:pPr>
        <w:numPr>
          <w:ilvl w:val="0"/>
          <w:numId w:val="0"/>
        </w:numPr>
        <w:ind w:left="562" w:leftChars="0"/>
        <w:jc w:val="center"/>
        <w:rPr>
          <w:rFonts w:hint="default" w:ascii="宋体" w:hAnsi="宋体"/>
          <w:b/>
          <w:sz w:val="28"/>
          <w:szCs w:val="28"/>
          <w:lang w:val="en-US"/>
        </w:rPr>
      </w:pPr>
      <w:r>
        <w:rPr>
          <w:rFonts w:hint="eastAsia" w:ascii="宋体" w:hAnsi="宋体"/>
          <w:b/>
          <w:sz w:val="36"/>
          <w:szCs w:val="28"/>
          <w:lang w:val="en-US" w:eastAsia="zh-CN"/>
        </w:rPr>
        <w:t>关于放射科部分设备维保服务采购公告</w:t>
      </w:r>
    </w:p>
    <w:p>
      <w:pPr>
        <w:pStyle w:val="2"/>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一、项目名称: </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2"/>
        <w:gridCol w:w="2550"/>
        <w:gridCol w:w="2010"/>
        <w:gridCol w:w="1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名称</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eastAsiaTheme="minorEastAsia"/>
                <w:sz w:val="28"/>
                <w:szCs w:val="28"/>
              </w:rPr>
            </w:pPr>
            <w:r>
              <w:rPr>
                <w:rFonts w:hint="eastAsia" w:ascii="宋体" w:hAnsi="宋体" w:cs="宋体"/>
                <w:sz w:val="28"/>
                <w:szCs w:val="28"/>
              </w:rPr>
              <w:t>设备型号</w:t>
            </w: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firstLineChars="200"/>
              <w:jc w:val="center"/>
              <w:rPr>
                <w:rFonts w:ascii="宋体"/>
                <w:sz w:val="28"/>
                <w:szCs w:val="28"/>
              </w:rPr>
            </w:pPr>
            <w:r>
              <w:rPr>
                <w:rFonts w:hint="eastAsia" w:ascii="宋体"/>
                <w:sz w:val="28"/>
                <w:szCs w:val="28"/>
              </w:rPr>
              <w:t>数量（台）</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280" w:firstLineChars="100"/>
              <w:jc w:val="center"/>
              <w:rPr>
                <w:rFonts w:ascii="宋体"/>
                <w:sz w:val="28"/>
                <w:szCs w:val="28"/>
              </w:rPr>
            </w:pPr>
            <w:r>
              <w:rPr>
                <w:rFonts w:hint="eastAsia" w:ascii="宋体"/>
                <w:sz w:val="28"/>
                <w:szCs w:val="28"/>
              </w:rPr>
              <w:t>保养类型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64排CT</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hAnsi="宋体" w:cs="宋体"/>
                <w:sz w:val="28"/>
                <w:szCs w:val="28"/>
              </w:rPr>
              <w:t>GE lightspeed</w:t>
            </w: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1</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技术保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16排CT</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hAnsi="宋体" w:cs="宋体"/>
                <w:sz w:val="28"/>
                <w:szCs w:val="28"/>
              </w:rPr>
              <w:t>GE brightspeed</w:t>
            </w: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1</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技术保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宋体" w:eastAsia="宋体"/>
                <w:sz w:val="28"/>
                <w:szCs w:val="28"/>
                <w:lang w:val="en-US" w:eastAsia="zh-CN"/>
              </w:rPr>
            </w:pPr>
            <w:r>
              <w:rPr>
                <w:rFonts w:hint="eastAsia" w:ascii="宋体"/>
                <w:sz w:val="28"/>
                <w:szCs w:val="28"/>
                <w:lang w:val="en-US" w:eastAsia="zh-CN"/>
              </w:rPr>
              <w:t>40排CT</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宋体" w:eastAsia="宋体"/>
                <w:sz w:val="28"/>
                <w:szCs w:val="28"/>
                <w:lang w:val="en-US" w:eastAsia="zh-CN"/>
              </w:rPr>
            </w:pPr>
            <w:r>
              <w:rPr>
                <w:rFonts w:hint="eastAsia" w:ascii="宋体"/>
                <w:sz w:val="28"/>
                <w:szCs w:val="28"/>
                <w:lang w:eastAsia="zh-CN"/>
              </w:rPr>
              <w:t>联影</w:t>
            </w:r>
            <w:r>
              <w:rPr>
                <w:rFonts w:hint="eastAsia" w:ascii="宋体"/>
                <w:sz w:val="28"/>
                <w:szCs w:val="28"/>
                <w:lang w:val="en-US" w:eastAsia="zh-CN"/>
              </w:rPr>
              <w:t>UCT 550</w:t>
            </w: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eastAsia="宋体"/>
                <w:sz w:val="28"/>
                <w:szCs w:val="28"/>
                <w:lang w:val="en-US" w:eastAsia="zh-CN"/>
              </w:rPr>
            </w:pPr>
            <w:r>
              <w:rPr>
                <w:rFonts w:hint="eastAsia" w:ascii="宋体"/>
                <w:sz w:val="28"/>
                <w:szCs w:val="28"/>
                <w:lang w:val="en-US" w:eastAsia="zh-CN"/>
              </w:rPr>
              <w:t>1</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技术保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磁共振</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hAnsi="宋体" w:cs="宋体"/>
                <w:sz w:val="28"/>
                <w:szCs w:val="28"/>
              </w:rPr>
              <w:t>GE1.5T HDE</w:t>
            </w: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1</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技术保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sz w:val="28"/>
                <w:szCs w:val="28"/>
              </w:rPr>
            </w:pPr>
            <w:r>
              <w:rPr>
                <w:rFonts w:hint="eastAsia" w:ascii="宋体"/>
                <w:sz w:val="28"/>
                <w:szCs w:val="28"/>
              </w:rPr>
              <w:t>DR</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sz w:val="28"/>
                <w:szCs w:val="28"/>
              </w:rPr>
            </w:pPr>
            <w:r>
              <w:rPr>
                <w:rFonts w:hint="eastAsia" w:ascii="宋体" w:hAnsi="宋体" w:cs="宋体"/>
                <w:sz w:val="28"/>
                <w:szCs w:val="28"/>
              </w:rPr>
              <w:t>GE飞天6000</w:t>
            </w: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1</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技术保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sz w:val="28"/>
                <w:szCs w:val="28"/>
              </w:rPr>
            </w:pPr>
            <w:r>
              <w:rPr>
                <w:rFonts w:hint="eastAsia" w:ascii="宋体" w:hAnsi="宋体" w:cs="宋体"/>
                <w:sz w:val="28"/>
                <w:szCs w:val="28"/>
              </w:rPr>
              <w:t>DR</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sz w:val="28"/>
                <w:szCs w:val="28"/>
              </w:rPr>
            </w:pPr>
            <w:r>
              <w:rPr>
                <w:rFonts w:hint="eastAsia" w:ascii="宋体" w:hAnsi="宋体" w:cs="宋体"/>
                <w:sz w:val="28"/>
                <w:szCs w:val="28"/>
              </w:rPr>
              <w:t>东软Neustar</w:t>
            </w: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1</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技术保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eastAsiaTheme="minorEastAsia"/>
                <w:sz w:val="28"/>
                <w:szCs w:val="28"/>
              </w:rPr>
            </w:pPr>
            <w:r>
              <w:rPr>
                <w:rFonts w:hint="eastAsia" w:ascii="宋体" w:hAnsi="宋体" w:cs="宋体"/>
                <w:sz w:val="28"/>
                <w:szCs w:val="28"/>
              </w:rPr>
              <w:t>DSA</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eastAsiaTheme="minorEastAsia"/>
                <w:sz w:val="28"/>
                <w:szCs w:val="28"/>
              </w:rPr>
            </w:pPr>
            <w:r>
              <w:rPr>
                <w:rFonts w:hint="eastAsia" w:ascii="宋体" w:hAnsi="宋体" w:cs="宋体"/>
                <w:sz w:val="28"/>
                <w:szCs w:val="28"/>
              </w:rPr>
              <w:t>GE innova DSA</w:t>
            </w: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eastAsiaTheme="minorEastAsia"/>
                <w:sz w:val="28"/>
                <w:szCs w:val="28"/>
              </w:rPr>
            </w:pPr>
            <w:r>
              <w:rPr>
                <w:rFonts w:hint="eastAsia" w:ascii="宋体"/>
                <w:sz w:val="28"/>
                <w:szCs w:val="28"/>
              </w:rPr>
              <w:t>1</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技术保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eastAsiaTheme="minorEastAsia"/>
                <w:sz w:val="28"/>
                <w:szCs w:val="28"/>
              </w:rPr>
            </w:pPr>
            <w:r>
              <w:rPr>
                <w:rFonts w:hint="eastAsia" w:ascii="宋体" w:hAnsi="宋体" w:cs="宋体"/>
                <w:sz w:val="28"/>
                <w:szCs w:val="28"/>
              </w:rPr>
              <w:t>数字胃肠机</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eastAsiaTheme="minorEastAsia"/>
                <w:sz w:val="28"/>
                <w:szCs w:val="28"/>
              </w:rPr>
            </w:pPr>
            <w:r>
              <w:rPr>
                <w:rFonts w:hint="eastAsia" w:ascii="宋体" w:hAnsi="宋体" w:cs="宋体"/>
                <w:sz w:val="28"/>
                <w:szCs w:val="28"/>
              </w:rPr>
              <w:t>GMM OPERA-T30CS</w:t>
            </w: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eastAsiaTheme="minorEastAsia"/>
                <w:sz w:val="28"/>
                <w:szCs w:val="28"/>
              </w:rPr>
            </w:pPr>
            <w:r>
              <w:rPr>
                <w:rFonts w:hint="eastAsia" w:ascii="宋体"/>
                <w:sz w:val="28"/>
                <w:szCs w:val="28"/>
              </w:rPr>
              <w:t>1</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sz w:val="28"/>
                <w:szCs w:val="28"/>
              </w:rPr>
            </w:pPr>
            <w:r>
              <w:rPr>
                <w:rFonts w:hint="eastAsia" w:ascii="宋体"/>
                <w:sz w:val="28"/>
                <w:szCs w:val="28"/>
              </w:rPr>
              <w:t>技术保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jc w:val="center"/>
        </w:trPr>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口腔全景机</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OC200D</w:t>
            </w: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sz w:val="28"/>
                <w:szCs w:val="28"/>
              </w:rPr>
            </w:pPr>
            <w:r>
              <w:rPr>
                <w:rFonts w:hint="eastAsia" w:ascii="宋体"/>
                <w:sz w:val="28"/>
                <w:szCs w:val="28"/>
              </w:rPr>
              <w:t>1</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sz w:val="28"/>
                <w:szCs w:val="28"/>
              </w:rPr>
            </w:pPr>
            <w:r>
              <w:rPr>
                <w:rFonts w:hint="eastAsia" w:ascii="宋体"/>
                <w:sz w:val="28"/>
                <w:szCs w:val="28"/>
              </w:rPr>
              <w:t>技术保</w:t>
            </w:r>
          </w:p>
        </w:tc>
      </w:tr>
    </w:tbl>
    <w:p>
      <w:pPr>
        <w:pStyle w:val="2"/>
        <w:numPr>
          <w:ilvl w:val="0"/>
          <w:numId w:val="0"/>
        </w:numPr>
        <w:ind w:firstLine="562" w:firstLineChars="200"/>
        <w:rPr>
          <w:rFonts w:hint="eastAsia" w:ascii="宋体" w:hAnsi="宋体" w:eastAsia="宋体" w:cs="宋体"/>
          <w:b/>
          <w:sz w:val="28"/>
          <w:szCs w:val="28"/>
          <w:lang w:val="en-US" w:eastAsia="zh-CN"/>
        </w:rPr>
      </w:pPr>
      <w:r>
        <w:rPr>
          <w:rFonts w:hint="eastAsia" w:ascii="宋体" w:hAnsi="宋体" w:eastAsia="宋体" w:cs="宋体"/>
          <w:b/>
          <w:kern w:val="0"/>
          <w:sz w:val="28"/>
          <w:szCs w:val="28"/>
          <w:lang w:val="en-US" w:eastAsia="zh-CN" w:bidi="ar-SA"/>
        </w:rPr>
        <w:t>二、</w:t>
      </w:r>
      <w:r>
        <w:rPr>
          <w:rFonts w:hint="eastAsia" w:ascii="宋体" w:hAnsi="宋体" w:eastAsia="宋体" w:cs="宋体"/>
          <w:b/>
          <w:sz w:val="28"/>
          <w:szCs w:val="28"/>
          <w:lang w:val="en-US" w:eastAsia="zh-CN"/>
        </w:rPr>
        <w:t>预算：25万</w:t>
      </w:r>
    </w:p>
    <w:p>
      <w:pPr>
        <w:pStyle w:val="2"/>
        <w:numPr>
          <w:ilvl w:val="0"/>
          <w:numId w:val="0"/>
        </w:numPr>
        <w:ind w:firstLine="562" w:firstLineChars="200"/>
        <w:rPr>
          <w:rFonts w:hint="eastAsia" w:ascii="宋体" w:hAnsi="宋体" w:eastAsia="宋体" w:cs="宋体"/>
          <w:b/>
          <w:sz w:val="28"/>
          <w:szCs w:val="28"/>
          <w:lang w:val="en-US" w:eastAsia="zh-CN"/>
        </w:rPr>
      </w:pPr>
      <w:r>
        <w:rPr>
          <w:rFonts w:hint="eastAsia" w:ascii="宋体" w:hAnsi="宋体" w:eastAsia="宋体" w:cs="宋体"/>
          <w:b/>
          <w:kern w:val="0"/>
          <w:sz w:val="28"/>
          <w:szCs w:val="28"/>
          <w:lang w:val="en-US" w:eastAsia="zh-CN" w:bidi="ar-SA"/>
        </w:rPr>
        <w:t>三、</w:t>
      </w:r>
      <w:r>
        <w:rPr>
          <w:rFonts w:hint="eastAsia" w:ascii="宋体" w:hAnsi="宋体" w:eastAsia="宋体" w:cs="宋体"/>
          <w:b/>
          <w:sz w:val="28"/>
          <w:szCs w:val="28"/>
          <w:lang w:val="en-US" w:eastAsia="zh-CN"/>
        </w:rPr>
        <w:t>服务周期：一年</w:t>
      </w:r>
    </w:p>
    <w:p>
      <w:pPr>
        <w:pStyle w:val="2"/>
        <w:numPr>
          <w:ilvl w:val="0"/>
          <w:numId w:val="0"/>
        </w:numPr>
        <w:ind w:firstLine="562" w:firstLineChars="20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四、服务要求：</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1、维保公司派维修人员到甲方对甲方设备维修人员和设备使用人员进行现场日常维护的技术指导及应用培训。</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2、预防性保养服务检测包括：</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(1)设备清洁、系统性能测试及校准；</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(2)必要的机械或电气的检查；</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(3)非紧急性质的补救性维修；</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(4)定期对设备的数据进行备份。</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3、定期维护服务，具体内容包括但不限于以下六点:</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(1)系统基本情况检查；</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(2)图像质量检查；</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(3)球管使用情况检查；</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(4)重建系统检查；</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(5)滑环通讯检查；</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(6)软件。</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4、定期维护保养服务每年4次，每季度进行1次。</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5、备件库保证：保证在国内有零备件库，在国内设有常用备件库。</w:t>
      </w:r>
    </w:p>
    <w:p>
      <w:pPr>
        <w:pStyle w:val="2"/>
        <w:numPr>
          <w:ilvl w:val="0"/>
          <w:numId w:val="0"/>
        </w:numPr>
        <w:ind w:firstLine="560" w:firstLineChars="200"/>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6、设备出现故障，接到甲方报修后需30 分钟内响应，6 小时内到达现场，并在合理期限内完成修复工作（48小时不能修复的，采购人有权邀请其他公司对设备进行修复，产生费用由维保公司承担），保证所维保设备开机率达 95%以上，即每年停机不超过13天。(1年按365天算)，若全年停机超过13天，每多一天，服务期延伸10天。</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7、每次维护、保养、检修后，工程师以专业纸质报告的形式为采购方提供服务报告，并形成台账交采购人存档。</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8、本项目配备不低于7名专业工程师，工程师具备磁共振、CT等专业技能。</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9、如遇重大活动、紧急事件，需加派1-2名工程师到场服务，维护设备，直至重大活动、紧急事件结束。</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10、在保养或维修过程中，对设备部件造成损坏或产生新的故障，由维保公司负责维修并承担维修及维修配件的费用。</w:t>
      </w:r>
    </w:p>
    <w:p>
      <w:pPr>
        <w:pStyle w:val="2"/>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11、对于维修需使用的配件，应在24小时内提供备用件（球管除外），医院自主采购相应配件，维保公司免费对配件进行更换，设备正常使用后方可取走备用件，并做好相应交接记录。</w:t>
      </w:r>
    </w:p>
    <w:p>
      <w:pPr>
        <w:pStyle w:val="2"/>
        <w:numPr>
          <w:ilvl w:val="0"/>
          <w:numId w:val="0"/>
        </w:numPr>
        <w:ind w:firstLine="560" w:firstLineChars="200"/>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12、其他未明确项，协商后可在合同中加以补充。</w:t>
      </w:r>
    </w:p>
    <w:p>
      <w:pPr>
        <w:pStyle w:val="2"/>
        <w:numPr>
          <w:ilvl w:val="0"/>
          <w:numId w:val="0"/>
        </w:numPr>
        <w:ind w:firstLine="562" w:firstLineChars="200"/>
        <w:rPr>
          <w:rFonts w:hint="default"/>
          <w:lang w:val="en-US"/>
        </w:rPr>
      </w:pPr>
      <w:r>
        <w:rPr>
          <w:rFonts w:hint="eastAsia" w:ascii="宋体" w:hAnsi="宋体" w:eastAsia="宋体" w:cs="宋体"/>
          <w:b/>
          <w:sz w:val="28"/>
          <w:szCs w:val="28"/>
          <w:lang w:val="en-US" w:eastAsia="zh-CN"/>
        </w:rPr>
        <w:t>五、本项目采用综合评分方式进行比选，评分细则如下：</w:t>
      </w:r>
    </w:p>
    <w:tbl>
      <w:tblPr>
        <w:tblStyle w:val="5"/>
        <w:tblW w:w="0" w:type="auto"/>
        <w:jc w:val="center"/>
        <w:tblLayout w:type="autofit"/>
        <w:tblCellMar>
          <w:top w:w="0" w:type="dxa"/>
          <w:left w:w="108" w:type="dxa"/>
          <w:bottom w:w="0" w:type="dxa"/>
          <w:right w:w="108" w:type="dxa"/>
        </w:tblCellMar>
      </w:tblPr>
      <w:tblGrid>
        <w:gridCol w:w="496"/>
        <w:gridCol w:w="1412"/>
        <w:gridCol w:w="781"/>
        <w:gridCol w:w="3912"/>
        <w:gridCol w:w="1921"/>
      </w:tblGrid>
      <w:tr>
        <w:tblPrEx>
          <w:tblCellMar>
            <w:top w:w="0" w:type="dxa"/>
            <w:left w:w="108" w:type="dxa"/>
            <w:bottom w:w="0" w:type="dxa"/>
            <w:right w:w="108" w:type="dxa"/>
          </w:tblCellMar>
        </w:tblPrEx>
        <w:trPr>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序号</w:t>
            </w:r>
          </w:p>
        </w:tc>
        <w:tc>
          <w:tcPr>
            <w:tcW w:w="141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评分因素及权重</w:t>
            </w:r>
          </w:p>
        </w:tc>
        <w:tc>
          <w:tcPr>
            <w:tcW w:w="78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分值</w:t>
            </w:r>
          </w:p>
        </w:tc>
        <w:tc>
          <w:tcPr>
            <w:tcW w:w="391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评分标准</w:t>
            </w:r>
          </w:p>
        </w:tc>
        <w:tc>
          <w:tcPr>
            <w:tcW w:w="192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说明</w:t>
            </w:r>
          </w:p>
        </w:tc>
      </w:tr>
      <w:tr>
        <w:tblPrEx>
          <w:tblCellMar>
            <w:top w:w="0" w:type="dxa"/>
            <w:left w:w="108" w:type="dxa"/>
            <w:bottom w:w="0" w:type="dxa"/>
            <w:right w:w="108" w:type="dxa"/>
          </w:tblCellMar>
        </w:tblPrEx>
        <w:trPr>
          <w:jc w:val="center"/>
        </w:trPr>
        <w:tc>
          <w:tcPr>
            <w:tcW w:w="4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1</w:t>
            </w:r>
          </w:p>
        </w:tc>
        <w:tc>
          <w:tcPr>
            <w:tcW w:w="1412"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报价</w:t>
            </w:r>
          </w:p>
        </w:tc>
        <w:tc>
          <w:tcPr>
            <w:tcW w:w="781"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0</w:t>
            </w:r>
          </w:p>
        </w:tc>
        <w:tc>
          <w:tcPr>
            <w:tcW w:w="3912"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以投标人有效报价的最低价为评标基准价，报价得分=基准价/报价*</w:t>
            </w:r>
            <w:r>
              <w:rPr>
                <w:rFonts w:hint="eastAsia" w:ascii="宋体" w:hAnsi="宋体" w:cs="宋体"/>
                <w:sz w:val="28"/>
                <w:szCs w:val="28"/>
                <w:lang w:val="en-US" w:eastAsia="zh-CN"/>
              </w:rPr>
              <w:t>2</w:t>
            </w:r>
            <w:r>
              <w:rPr>
                <w:rFonts w:hint="eastAsia" w:ascii="宋体" w:hAnsi="宋体" w:cs="宋体"/>
                <w:sz w:val="28"/>
                <w:szCs w:val="28"/>
              </w:rPr>
              <w:t>0。</w:t>
            </w:r>
          </w:p>
        </w:tc>
        <w:tc>
          <w:tcPr>
            <w:tcW w:w="1921"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　</w:t>
            </w:r>
          </w:p>
        </w:tc>
      </w:tr>
      <w:tr>
        <w:tblPrEx>
          <w:tblCellMar>
            <w:top w:w="0" w:type="dxa"/>
            <w:left w:w="108" w:type="dxa"/>
            <w:bottom w:w="0" w:type="dxa"/>
            <w:right w:w="108" w:type="dxa"/>
          </w:tblCellMar>
        </w:tblPrEx>
        <w:trPr>
          <w:jc w:val="center"/>
        </w:trPr>
        <w:tc>
          <w:tcPr>
            <w:tcW w:w="4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3</w:t>
            </w:r>
          </w:p>
        </w:tc>
        <w:tc>
          <w:tcPr>
            <w:tcW w:w="1412"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履约能力</w:t>
            </w:r>
          </w:p>
        </w:tc>
        <w:tc>
          <w:tcPr>
            <w:tcW w:w="781"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5</w:t>
            </w:r>
          </w:p>
        </w:tc>
        <w:tc>
          <w:tcPr>
            <w:tcW w:w="3912"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20</w:t>
            </w:r>
            <w:r>
              <w:rPr>
                <w:rFonts w:hint="eastAsia" w:ascii="宋体" w:hAnsi="宋体" w:cs="宋体"/>
                <w:sz w:val="28"/>
                <w:szCs w:val="28"/>
                <w:lang w:val="en-US" w:eastAsia="zh-CN"/>
              </w:rPr>
              <w:t>22</w:t>
            </w:r>
            <w:r>
              <w:rPr>
                <w:rFonts w:hint="eastAsia" w:ascii="宋体" w:hAnsi="宋体" w:cs="宋体"/>
                <w:sz w:val="28"/>
                <w:szCs w:val="28"/>
              </w:rPr>
              <w:t>年1月1日以来（以签订合同时间为准），每提供一个</w:t>
            </w:r>
            <w:r>
              <w:rPr>
                <w:rFonts w:hint="eastAsia" w:ascii="宋体" w:hAnsi="宋体" w:cs="宋体"/>
                <w:sz w:val="28"/>
                <w:szCs w:val="28"/>
                <w:lang w:val="en-US" w:eastAsia="zh-CN"/>
              </w:rPr>
              <w:t>放射类医疗设备维保</w:t>
            </w:r>
            <w:r>
              <w:rPr>
                <w:rFonts w:hint="eastAsia" w:ascii="宋体" w:hAnsi="宋体" w:cs="宋体"/>
                <w:sz w:val="28"/>
                <w:szCs w:val="28"/>
              </w:rPr>
              <w:t>业绩</w:t>
            </w:r>
            <w:r>
              <w:rPr>
                <w:rFonts w:hint="eastAsia" w:ascii="宋体" w:hAnsi="宋体" w:cs="宋体"/>
                <w:sz w:val="28"/>
                <w:szCs w:val="28"/>
                <w:lang w:val="en-US" w:eastAsia="zh-CN"/>
              </w:rPr>
              <w:t>3</w:t>
            </w:r>
            <w:r>
              <w:rPr>
                <w:rFonts w:hint="eastAsia" w:ascii="宋体" w:hAnsi="宋体" w:cs="宋体"/>
                <w:sz w:val="28"/>
                <w:szCs w:val="28"/>
              </w:rPr>
              <w:t>分，最多得</w:t>
            </w:r>
            <w:r>
              <w:rPr>
                <w:rFonts w:hint="eastAsia" w:ascii="宋体" w:hAnsi="宋体" w:cs="宋体"/>
                <w:sz w:val="28"/>
                <w:szCs w:val="28"/>
                <w:lang w:val="en-US" w:eastAsia="zh-CN"/>
              </w:rPr>
              <w:t>15</w:t>
            </w:r>
            <w:r>
              <w:rPr>
                <w:rFonts w:hint="eastAsia" w:ascii="宋体" w:hAnsi="宋体" w:cs="宋体"/>
                <w:sz w:val="28"/>
                <w:szCs w:val="28"/>
              </w:rPr>
              <w:t>分。</w:t>
            </w:r>
          </w:p>
        </w:tc>
        <w:tc>
          <w:tcPr>
            <w:tcW w:w="1921"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提供合同复印件或中标通知书。</w:t>
            </w:r>
          </w:p>
        </w:tc>
      </w:tr>
      <w:tr>
        <w:tblPrEx>
          <w:tblCellMar>
            <w:top w:w="0" w:type="dxa"/>
            <w:left w:w="108" w:type="dxa"/>
            <w:bottom w:w="0" w:type="dxa"/>
            <w:right w:w="108" w:type="dxa"/>
          </w:tblCellMar>
        </w:tblPrEx>
        <w:trPr>
          <w:jc w:val="center"/>
        </w:trPr>
        <w:tc>
          <w:tcPr>
            <w:tcW w:w="4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4</w:t>
            </w:r>
          </w:p>
        </w:tc>
        <w:tc>
          <w:tcPr>
            <w:tcW w:w="1412"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服务方案</w:t>
            </w:r>
          </w:p>
        </w:tc>
        <w:tc>
          <w:tcPr>
            <w:tcW w:w="781"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default" w:ascii="宋体" w:hAnsi="宋体" w:cs="宋体"/>
                <w:sz w:val="28"/>
                <w:szCs w:val="28"/>
                <w:lang w:val="en-US"/>
              </w:rPr>
            </w:pPr>
            <w:r>
              <w:rPr>
                <w:rFonts w:hint="eastAsia" w:ascii="宋体" w:hAnsi="宋体" w:cs="宋体"/>
                <w:sz w:val="28"/>
                <w:szCs w:val="28"/>
                <w:lang w:val="en-US" w:eastAsia="zh-CN"/>
              </w:rPr>
              <w:t>30</w:t>
            </w:r>
          </w:p>
        </w:tc>
        <w:tc>
          <w:tcPr>
            <w:tcW w:w="3912"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供应商根据本项目特点，提供服务方案</w:t>
            </w:r>
            <w:r>
              <w:rPr>
                <w:rFonts w:hint="eastAsia" w:ascii="宋体" w:hAnsi="宋体" w:cs="宋体"/>
                <w:sz w:val="28"/>
                <w:szCs w:val="28"/>
                <w:lang w:eastAsia="zh-CN"/>
              </w:rPr>
              <w:t>，</w:t>
            </w:r>
            <w:r>
              <w:rPr>
                <w:rFonts w:hint="eastAsia" w:ascii="宋体" w:hAnsi="宋体" w:cs="宋体"/>
                <w:sz w:val="28"/>
                <w:szCs w:val="28"/>
              </w:rPr>
              <w:t>至少包含但不限于：</w:t>
            </w:r>
          </w:p>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项目整体方案；</w:t>
            </w:r>
          </w:p>
          <w:p>
            <w:pPr>
              <w:adjustRightInd w:val="0"/>
              <w:snapToGrid w:val="0"/>
              <w:spacing w:line="300" w:lineRule="auto"/>
              <w:jc w:val="center"/>
              <w:rPr>
                <w:rFonts w:hint="eastAsia" w:ascii="宋体" w:hAnsi="宋体" w:cs="宋体"/>
                <w:sz w:val="28"/>
                <w:szCs w:val="28"/>
                <w:lang w:eastAsia="zh-CN"/>
              </w:rPr>
            </w:pPr>
            <w:r>
              <w:rPr>
                <w:rFonts w:hint="eastAsia" w:ascii="宋体" w:hAnsi="宋体" w:cs="宋体"/>
                <w:sz w:val="28"/>
                <w:szCs w:val="28"/>
              </w:rPr>
              <w:t>（2）项目维保进度、时间安排</w:t>
            </w:r>
            <w:r>
              <w:rPr>
                <w:rFonts w:hint="eastAsia" w:ascii="宋体" w:hAnsi="宋体" w:cs="宋体"/>
                <w:sz w:val="28"/>
                <w:szCs w:val="28"/>
                <w:lang w:eastAsia="zh-CN"/>
              </w:rPr>
              <w:t>；</w:t>
            </w:r>
          </w:p>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（3）项目技术队伍质量保障措施；</w:t>
            </w:r>
          </w:p>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（4）服务质量保证措施；</w:t>
            </w:r>
          </w:p>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（5）对项目实施过程中可能存在问题的预备解决方案；</w:t>
            </w:r>
          </w:p>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rPr>
              <w:t>内容齐全，描述详细且针对性强的得</w:t>
            </w:r>
            <w:r>
              <w:rPr>
                <w:rFonts w:hint="eastAsia" w:ascii="宋体" w:hAnsi="宋体" w:cs="宋体"/>
                <w:sz w:val="28"/>
                <w:szCs w:val="28"/>
                <w:lang w:val="en-US" w:eastAsia="zh-CN"/>
              </w:rPr>
              <w:t>30</w:t>
            </w:r>
            <w:r>
              <w:rPr>
                <w:rFonts w:hint="eastAsia" w:ascii="宋体" w:hAnsi="宋体" w:cs="宋体"/>
                <w:sz w:val="28"/>
                <w:szCs w:val="28"/>
              </w:rPr>
              <w:t>分，有任意一项内容缺失的扣</w:t>
            </w:r>
            <w:r>
              <w:rPr>
                <w:rFonts w:hint="eastAsia" w:ascii="宋体" w:hAnsi="宋体" w:cs="宋体"/>
                <w:sz w:val="28"/>
                <w:szCs w:val="28"/>
                <w:lang w:val="en-US" w:eastAsia="zh-CN"/>
              </w:rPr>
              <w:t>6</w:t>
            </w:r>
            <w:r>
              <w:rPr>
                <w:rFonts w:hint="eastAsia" w:ascii="宋体" w:hAnsi="宋体" w:cs="宋体"/>
                <w:sz w:val="28"/>
                <w:szCs w:val="28"/>
              </w:rPr>
              <w:t>分</w:t>
            </w:r>
            <w:r>
              <w:rPr>
                <w:rFonts w:hint="eastAsia" w:ascii="宋体" w:hAnsi="宋体" w:cs="宋体"/>
                <w:sz w:val="28"/>
                <w:szCs w:val="28"/>
                <w:lang w:val="en-US" w:eastAsia="zh-CN"/>
              </w:rPr>
              <w:t>，方案内容不适合的，有一项扣3分，</w:t>
            </w:r>
            <w:r>
              <w:rPr>
                <w:rFonts w:hint="eastAsia" w:ascii="宋体" w:hAnsi="宋体" w:cs="宋体"/>
                <w:sz w:val="28"/>
                <w:szCs w:val="28"/>
              </w:rPr>
              <w:t>扣完为止。</w:t>
            </w:r>
          </w:p>
        </w:tc>
        <w:tc>
          <w:tcPr>
            <w:tcW w:w="1921"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p>
        </w:tc>
      </w:tr>
      <w:tr>
        <w:tblPrEx>
          <w:tblCellMar>
            <w:top w:w="0" w:type="dxa"/>
            <w:left w:w="108" w:type="dxa"/>
            <w:bottom w:w="0" w:type="dxa"/>
            <w:right w:w="108" w:type="dxa"/>
          </w:tblCellMar>
        </w:tblPrEx>
        <w:trPr>
          <w:jc w:val="center"/>
        </w:trPr>
        <w:tc>
          <w:tcPr>
            <w:tcW w:w="4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lang w:val="en-US" w:eastAsia="zh-CN"/>
              </w:rPr>
            </w:pPr>
            <w:r>
              <w:rPr>
                <w:rFonts w:hint="eastAsia" w:ascii="宋体" w:hAnsi="宋体" w:cs="宋体"/>
                <w:sz w:val="28"/>
                <w:szCs w:val="28"/>
                <w:lang w:val="en-US" w:eastAsia="zh-CN"/>
              </w:rPr>
              <w:t>5</w:t>
            </w:r>
          </w:p>
        </w:tc>
        <w:tc>
          <w:tcPr>
            <w:tcW w:w="1412"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lang w:val="en-US" w:eastAsia="zh-CN"/>
              </w:rPr>
              <w:t>辐射安全</w:t>
            </w:r>
          </w:p>
        </w:tc>
        <w:tc>
          <w:tcPr>
            <w:tcW w:w="781"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default" w:ascii="宋体" w:hAnsi="宋体" w:cs="宋体"/>
                <w:sz w:val="28"/>
                <w:szCs w:val="28"/>
                <w:lang w:val="en-US"/>
              </w:rPr>
            </w:pPr>
            <w:r>
              <w:rPr>
                <w:rFonts w:hint="eastAsia" w:ascii="宋体" w:hAnsi="宋体" w:cs="宋体"/>
                <w:sz w:val="28"/>
                <w:szCs w:val="28"/>
                <w:lang w:val="en-US" w:eastAsia="zh-CN"/>
              </w:rPr>
              <w:t>10</w:t>
            </w:r>
          </w:p>
        </w:tc>
        <w:tc>
          <w:tcPr>
            <w:tcW w:w="3912"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lang w:val="en-US" w:eastAsia="zh-CN"/>
              </w:rPr>
              <w:t>供应商服务人员具有由四川省环境科学协会颁发的有效期内的“辐射安全与防护”的工程师培训证书。提供</w:t>
            </w:r>
            <w:r>
              <w:rPr>
                <w:rFonts w:hint="eastAsia" w:ascii="宋体" w:hAnsi="宋体" w:cs="宋体"/>
                <w:sz w:val="28"/>
                <w:szCs w:val="28"/>
              </w:rPr>
              <w:t>1个证书得</w:t>
            </w:r>
            <w:r>
              <w:rPr>
                <w:rFonts w:hint="eastAsia" w:ascii="宋体" w:hAnsi="宋体" w:cs="宋体"/>
                <w:sz w:val="28"/>
                <w:szCs w:val="28"/>
                <w:lang w:val="en-US" w:eastAsia="zh-CN"/>
              </w:rPr>
              <w:t>2</w:t>
            </w:r>
            <w:r>
              <w:rPr>
                <w:rFonts w:hint="eastAsia" w:ascii="宋体" w:hAnsi="宋体" w:cs="宋体"/>
                <w:sz w:val="28"/>
                <w:szCs w:val="28"/>
              </w:rPr>
              <w:t>分，最多得</w:t>
            </w:r>
            <w:r>
              <w:rPr>
                <w:rFonts w:hint="eastAsia" w:ascii="宋体" w:hAnsi="宋体" w:cs="宋体"/>
                <w:sz w:val="28"/>
                <w:szCs w:val="28"/>
                <w:lang w:val="en-US" w:eastAsia="zh-CN"/>
              </w:rPr>
              <w:t>6</w:t>
            </w:r>
            <w:r>
              <w:rPr>
                <w:rFonts w:hint="eastAsia" w:ascii="宋体" w:hAnsi="宋体" w:cs="宋体"/>
                <w:sz w:val="28"/>
                <w:szCs w:val="28"/>
              </w:rPr>
              <w:t>分。</w:t>
            </w:r>
          </w:p>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lang w:val="en-US" w:eastAsia="zh-CN"/>
              </w:rPr>
              <w:t>供应商具有有效期内的“辐射安全许可证”的，得4分。</w:t>
            </w:r>
          </w:p>
        </w:tc>
        <w:tc>
          <w:tcPr>
            <w:tcW w:w="1921"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lang w:val="en-US" w:eastAsia="zh-CN"/>
              </w:rPr>
              <w:t>提供有效期内的证书复印件</w:t>
            </w:r>
          </w:p>
        </w:tc>
      </w:tr>
      <w:tr>
        <w:tblPrEx>
          <w:tblCellMar>
            <w:top w:w="0" w:type="dxa"/>
            <w:left w:w="108" w:type="dxa"/>
            <w:bottom w:w="0" w:type="dxa"/>
            <w:right w:w="108" w:type="dxa"/>
          </w:tblCellMar>
        </w:tblPrEx>
        <w:trPr>
          <w:jc w:val="center"/>
        </w:trPr>
        <w:tc>
          <w:tcPr>
            <w:tcW w:w="4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lang w:val="en-US" w:eastAsia="zh-CN"/>
              </w:rPr>
            </w:pPr>
            <w:r>
              <w:rPr>
                <w:rFonts w:hint="eastAsia" w:ascii="宋体" w:hAnsi="宋体" w:cs="宋体"/>
                <w:sz w:val="28"/>
                <w:szCs w:val="28"/>
                <w:lang w:val="en-US" w:eastAsia="zh-CN"/>
              </w:rPr>
              <w:t>6</w:t>
            </w:r>
          </w:p>
        </w:tc>
        <w:tc>
          <w:tcPr>
            <w:tcW w:w="1412"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lang w:val="en-US" w:eastAsia="zh-CN"/>
              </w:rPr>
              <w:t>维修实力</w:t>
            </w:r>
          </w:p>
        </w:tc>
        <w:tc>
          <w:tcPr>
            <w:tcW w:w="781"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default" w:ascii="宋体" w:hAnsi="宋体" w:cs="宋体"/>
                <w:sz w:val="28"/>
                <w:szCs w:val="28"/>
                <w:lang w:val="en-US" w:eastAsia="zh-CN"/>
              </w:rPr>
            </w:pPr>
            <w:r>
              <w:rPr>
                <w:rFonts w:hint="eastAsia" w:ascii="宋体" w:hAnsi="宋体" w:cs="宋体"/>
                <w:sz w:val="28"/>
                <w:szCs w:val="28"/>
                <w:lang w:val="en-US" w:eastAsia="zh-CN"/>
              </w:rPr>
              <w:t>25</w:t>
            </w:r>
          </w:p>
        </w:tc>
        <w:tc>
          <w:tcPr>
            <w:tcW w:w="3912"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default"/>
                <w:lang w:val="en-US"/>
              </w:rPr>
            </w:pPr>
            <w:r>
              <w:rPr>
                <w:rFonts w:hint="eastAsia" w:ascii="宋体" w:hAnsi="宋体" w:cs="宋体"/>
                <w:sz w:val="28"/>
                <w:szCs w:val="28"/>
                <w:lang w:val="en-US" w:eastAsia="zh-CN"/>
              </w:rPr>
              <w:t>供应商提供相关证明材料，证明自身拥有能够维修本项目放射设备的技术实力及零配件供应能力。经对比评审相关证明材料的权威及有力程度，优秀得分：20-25分；一般得10-19分；其余得分0-9分。</w:t>
            </w:r>
          </w:p>
        </w:tc>
        <w:tc>
          <w:tcPr>
            <w:tcW w:w="1921" w:type="dxa"/>
            <w:tcBorders>
              <w:top w:val="nil"/>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hint="eastAsia" w:ascii="宋体" w:hAnsi="宋体" w:cs="宋体"/>
                <w:sz w:val="28"/>
                <w:szCs w:val="28"/>
              </w:rPr>
            </w:pPr>
            <w:r>
              <w:rPr>
                <w:rFonts w:hint="eastAsia" w:ascii="宋体" w:hAnsi="宋体" w:cs="宋体"/>
                <w:sz w:val="28"/>
                <w:szCs w:val="28"/>
                <w:lang w:val="en-US" w:eastAsia="zh-CN"/>
              </w:rPr>
              <w:t>材料类型不限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ODcyYjllY2U5NTY1ZTkzNDEzYzU2YTlkZjMyNzkifQ=="/>
  </w:docVars>
  <w:rsids>
    <w:rsidRoot w:val="00000000"/>
    <w:rsid w:val="23834880"/>
    <w:rsid w:val="297904C6"/>
    <w:rsid w:val="41DE6B9D"/>
    <w:rsid w:val="5EBF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ind w:firstLine="200" w:firstLineChars="200"/>
    </w:pPr>
    <w:rPr>
      <w:rFonts w:ascii="FangSong_GB2312" w:hAnsi="Calibri" w:eastAsia="FangSong_GB2312"/>
      <w:kern w:val="0"/>
      <w:sz w:val="30"/>
      <w:szCs w:val="30"/>
    </w:rPr>
  </w:style>
  <w:style w:type="paragraph" w:styleId="3">
    <w:name w:val="Body Text"/>
    <w:basedOn w:val="1"/>
    <w:next w:val="4"/>
    <w:unhideWhenUsed/>
    <w:qFormat/>
    <w:uiPriority w:val="99"/>
    <w:pPr>
      <w:spacing w:after="120"/>
    </w:pPr>
    <w:rPr>
      <w:rFonts w:ascii="Times New Roman" w:hAnsi="Times New Roman"/>
      <w:szCs w:val="24"/>
    </w:rPr>
  </w:style>
  <w:style w:type="paragraph" w:styleId="4">
    <w:name w:val="Date"/>
    <w:basedOn w:val="1"/>
    <w:next w:val="1"/>
    <w:unhideWhenUsed/>
    <w:qFormat/>
    <w:uiPriority w:val="99"/>
    <w:rPr>
      <w:sz w:val="24"/>
      <w:szCs w:val="20"/>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2023-11-08T00:25:00Z</dcterms:created>
  <dc:creator>admin</dc:creator>
  <cp:lastModifiedBy>江医罗玲15881637860</cp:lastModifiedBy>
  <dcterms:modified xsi:type="dcterms:W3CDTF">2023-11-30T02:17:37Z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1C8E17A4485F4CB38CF2BB718C50D2C1_13</vt:lpwstr>
  </property>
</Properties>
</file>