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360" w:lineRule="auto"/>
        <w:ind w:firstLine="0" w:firstLineChars="0"/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计算机类硬件维保项目</w:t>
      </w:r>
    </w:p>
    <w:p>
      <w:pPr>
        <w:pStyle w:val="6"/>
        <w:spacing w:line="360" w:lineRule="auto"/>
        <w:ind w:firstLine="0" w:firstLineChars="0"/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技术参数和配置等标准要求</w:t>
      </w:r>
    </w:p>
    <w:p>
      <w:pPr>
        <w:numPr>
          <w:ilvl w:val="0"/>
          <w:numId w:val="1"/>
        </w:numPr>
        <w:adjustRightInd w:val="0"/>
        <w:spacing w:line="360" w:lineRule="auto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项目概况：</w:t>
      </w:r>
    </w:p>
    <w:p>
      <w:pPr>
        <w:spacing w:line="360" w:lineRule="auto"/>
        <w:ind w:firstLine="42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江油市人民医院根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据医院管理、日常工作需要，拟对我院信息设备维修维护保养服务进行采购，包含：设备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运行中发生损坏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的配件、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日常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维护和保养的费用。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服务费用25万元/年，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服务期限：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年。</w:t>
      </w:r>
    </w:p>
    <w:p>
      <w:pPr>
        <w:numPr>
          <w:ilvl w:val="0"/>
          <w:numId w:val="1"/>
        </w:numPr>
        <w:adjustRightInd w:val="0"/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维保项目清单：</w:t>
      </w:r>
    </w:p>
    <w:tbl>
      <w:tblPr>
        <w:tblStyle w:val="4"/>
        <w:tblW w:w="10917" w:type="dxa"/>
        <w:tblInd w:w="-12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425"/>
        <w:gridCol w:w="7629"/>
        <w:gridCol w:w="11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技术指标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outlineLvl w:val="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outlineLvl w:val="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计算机终端</w:t>
            </w:r>
          </w:p>
        </w:tc>
        <w:tc>
          <w:tcPr>
            <w:tcW w:w="7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outlineLvl w:val="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台式机电脑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一体机、笔记本电脑等原厂或原厂授权服务，原厂正品配件，包含：常规巡检、维护保养，调整移机等。</w:t>
            </w: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outlineLvl w:val="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950台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outlineLvl w:val="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outlineLvl w:val="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打印机、复印机</w:t>
            </w:r>
          </w:p>
        </w:tc>
        <w:tc>
          <w:tcPr>
            <w:tcW w:w="7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outlineLvl w:val="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京瓷复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机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美能达一体机、打印设备等原厂或原厂授权服务，原厂正品配件，包含：常规巡检、维护保养，调整移机等。</w:t>
            </w: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outlineLvl w:val="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320台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outlineLvl w:val="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outlineLvl w:val="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监控</w:t>
            </w:r>
          </w:p>
        </w:tc>
        <w:tc>
          <w:tcPr>
            <w:tcW w:w="7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outlineLvl w:val="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音频、视频采集终端，监控平台等原厂或原厂授权服务，原厂正品配件，包含：常规巡检、维护保养，调整移机等。</w:t>
            </w: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outlineLvl w:val="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500台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outlineLvl w:val="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outlineLvl w:val="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一键报警</w:t>
            </w:r>
          </w:p>
        </w:tc>
        <w:tc>
          <w:tcPr>
            <w:tcW w:w="7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outlineLvl w:val="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拓界一键报警系统等原厂或原厂授权服务，原厂正品配件，包含：常规巡检、维护保养，调整移机等。</w:t>
            </w: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outlineLvl w:val="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45套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outlineLvl w:val="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outlineLvl w:val="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服务器</w:t>
            </w:r>
          </w:p>
        </w:tc>
        <w:tc>
          <w:tcPr>
            <w:tcW w:w="7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outlineLvl w:val="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H3C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HP、IBM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服务器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原厂或原厂授权服务，原厂正品配件，包含：常规巡检、维护保养，调整移机等。</w:t>
            </w: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outlineLvl w:val="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55台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outlineLvl w:val="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outlineLvl w:val="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网络和安全设备</w:t>
            </w:r>
          </w:p>
        </w:tc>
        <w:tc>
          <w:tcPr>
            <w:tcW w:w="7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outlineLvl w:val="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H3C、锐捷等原厂或原厂授权服务，原厂正品配件，包含：常规巡检、维护保养，调整移机等。</w:t>
            </w: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outlineLvl w:val="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76台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outlineLvl w:val="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outlineLvl w:val="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LED、拼接屏显示系统</w:t>
            </w:r>
          </w:p>
        </w:tc>
        <w:tc>
          <w:tcPr>
            <w:tcW w:w="7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outlineLvl w:val="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海佳彩亮LED显示系统、清投视讯等原厂或原厂授权服务，原厂正品配件，包含：常规巡检、维护保养，调整移机等。</w:t>
            </w: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outlineLvl w:val="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6套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outlineLvl w:val="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outlineLvl w:val="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投影仪</w:t>
            </w:r>
          </w:p>
        </w:tc>
        <w:tc>
          <w:tcPr>
            <w:tcW w:w="76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left"/>
              <w:outlineLvl w:val="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夏普投影仪等原厂或原厂授权服务，原厂正品配件，包含：常规巡检、维护保养，调整移机等。</w:t>
            </w:r>
          </w:p>
        </w:tc>
        <w:tc>
          <w:tcPr>
            <w:tcW w:w="11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outlineLvl w:val="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≥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32台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09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outlineLvl w:val="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注：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采购清单列举的内容为江油市人民医院主要信息设备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在本项目服务期限内，中标人工作范围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：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auto"/>
              <w:jc w:val="left"/>
              <w:outlineLvl w:val="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上述列表所有内容。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auto"/>
              <w:jc w:val="both"/>
              <w:outlineLvl w:val="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医院其它信息化临时任务(如迎检临时网络环境搭建、大型活动会场布置等)。</w:t>
            </w:r>
          </w:p>
        </w:tc>
      </w:tr>
    </w:tbl>
    <w:p>
      <w:pPr>
        <w:widowControl/>
        <w:ind w:left="945" w:hanging="1080" w:hangingChars="450"/>
        <w:jc w:val="left"/>
        <w:outlineLvl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widowControl/>
        <w:ind w:firstLine="480" w:firstLineChars="200"/>
        <w:jc w:val="left"/>
        <w:outlineLvl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ind w:firstLine="420"/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、维保细则要求：</w:t>
      </w:r>
    </w:p>
    <w:p>
      <w:pPr>
        <w:pStyle w:val="9"/>
        <w:spacing w:before="240" w:after="0" w:line="420" w:lineRule="exact"/>
        <w:ind w:firstLine="480" w:firstLineChars="200"/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  <w:t>（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  <w:t>）设备维保要求</w:t>
      </w:r>
    </w:p>
    <w:p>
      <w:pPr>
        <w:pStyle w:val="9"/>
        <w:spacing w:before="240" w:after="0" w:line="420" w:lineRule="exact"/>
        <w:ind w:firstLine="480" w:firstLineChars="200"/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  <w:t>①所有提供的配件均须为原厂全新合格产品，无次品、水货、假货。</w:t>
      </w:r>
    </w:p>
    <w:p>
      <w:pPr>
        <w:pStyle w:val="9"/>
        <w:spacing w:before="240" w:after="0" w:line="420" w:lineRule="exact"/>
        <w:ind w:firstLine="480" w:firstLineChars="200"/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  <w:t>②参与服务维保的机器每年均有不低于二次标准的保养工作，保证机器性能稳定。</w:t>
      </w:r>
    </w:p>
    <w:p>
      <w:pPr>
        <w:pStyle w:val="9"/>
        <w:spacing w:before="240" w:after="0" w:line="42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  <w:t>③由于服务器及网络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  <w:lang w:val="en-US" w:eastAsia="zh-CN"/>
        </w:rPr>
        <w:t>设备、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  <w:t>安全设备是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  <w:lang w:val="en-US" w:eastAsia="zh-CN"/>
        </w:rPr>
        <w:t>医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  <w:t>院信息系统核心设备，故投标供应商须提供设备生产厂商原厂技术支撑，并提供有效原厂认证技术人员名单及联系方式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  <w:lang w:val="en-US" w:eastAsia="zh-CN"/>
        </w:rPr>
        <w:t>(提供相关证明材料盖供应商鲜章)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  <w:t>。</w:t>
      </w:r>
    </w:p>
    <w:p>
      <w:pPr>
        <w:pStyle w:val="9"/>
        <w:spacing w:before="240" w:after="0" w:line="420" w:lineRule="exact"/>
        <w:ind w:firstLine="480" w:firstLineChars="200"/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  <w:t>（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  <w:t>）服务人员要求</w:t>
      </w:r>
    </w:p>
    <w:p>
      <w:pPr>
        <w:pStyle w:val="9"/>
        <w:spacing w:before="240" w:after="0" w:line="420" w:lineRule="exact"/>
        <w:ind w:firstLine="480" w:firstLineChars="200"/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  <w:t xml:space="preserve"> ①配备驻点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  <w:lang w:val="en-US" w:eastAsia="zh-CN"/>
        </w:rPr>
        <w:t>项目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  <w:t>负责人1名，要求驻点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  <w:lang w:val="en-US" w:eastAsia="zh-CN"/>
        </w:rPr>
        <w:t>项目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  <w:t>负责人具有专科及以上学历，具有3年以上IT行业工作经验。</w:t>
      </w:r>
    </w:p>
    <w:p>
      <w:pPr>
        <w:pStyle w:val="9"/>
        <w:spacing w:before="240" w:after="0" w:line="420" w:lineRule="exact"/>
        <w:ind w:firstLine="600" w:firstLineChars="250"/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  <w:t>②驻点项目负责人和驻点维修人员需到信息科备案并统一制作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  <w:lang w:val="en-US" w:eastAsia="zh-CN"/>
        </w:rPr>
        <w:t>工作牌，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  <w:t>挂牌上岗。未经医院同意，不得私自撤离和随意更换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  <w:lang w:val="en-US" w:eastAsia="zh-CN"/>
        </w:rPr>
        <w:t>工作人员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  <w:t>。对于技术水平低、服务态度差、工作不认真、责任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  <w:lang w:val="en-US" w:eastAsia="zh-CN"/>
        </w:rPr>
        <w:t>心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  <w:t>不强的维护人员，在医院提出更换要求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  <w:lang w:val="en-US" w:eastAsia="zh-CN"/>
        </w:rPr>
        <w:t>后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  <w:t>，立即予以更换。</w:t>
      </w:r>
    </w:p>
    <w:p>
      <w:pPr>
        <w:pStyle w:val="9"/>
        <w:spacing w:before="240" w:after="0" w:line="420" w:lineRule="exact"/>
        <w:ind w:firstLine="600" w:firstLineChars="250"/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  <w:t>③维护期间，进行7*24小时驻点服务，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  <w:lang w:val="en-US" w:eastAsia="zh-CN"/>
        </w:rPr>
        <w:t>白班早08：00至晚18：00，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  <w:t>必须提供不少于2名的专业维护人员，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  <w:lang w:val="en-US" w:eastAsia="zh-CN"/>
        </w:rPr>
        <w:t>夜班晚18：00至次日早08：00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  <w:t>必须提供不少于1名的专业维护人员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  <w:t>周末及节假日驻点不得少于1人，如遇任务繁重时应及时加派人手，以保证业务的正常运作及开展。</w:t>
      </w:r>
    </w:p>
    <w:p>
      <w:pPr>
        <w:pStyle w:val="9"/>
        <w:spacing w:before="240" w:after="0" w:line="420" w:lineRule="exact"/>
        <w:ind w:firstLine="600" w:firstLineChars="250"/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  <w:t>④当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  <w:lang w:val="en-US" w:eastAsia="zh-CN"/>
        </w:rPr>
        <w:t>信息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  <w:t>设备出现故障时要及时处理，驻点维护人员有熟练的现场故障处理能力，将故障处理时间控制在30分钟内。不能现场处理的故障机器要及时用备用机器替换，并保证在承诺的时间内修复故障设备。</w:t>
      </w:r>
    </w:p>
    <w:p>
      <w:pPr>
        <w:pStyle w:val="9"/>
        <w:spacing w:before="240" w:after="0" w:line="420" w:lineRule="exact"/>
        <w:ind w:firstLine="600" w:firstLineChars="250"/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  <w:t>⑤必须负责全院所有电脑、打印机、监控、一键报警等信息类设备的维护维修，并保证所有设备能100%正常运行；同时要每月巡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  <w:lang w:val="en-US" w:eastAsia="zh-CN"/>
        </w:rPr>
        <w:t>检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  <w:t>所有设备运行情况并登记，同时将巡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  <w:lang w:val="en-US" w:eastAsia="zh-CN"/>
        </w:rPr>
        <w:t>检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  <w:t>记录交医院，保证所有设备的使用完好率达到100%。</w:t>
      </w:r>
    </w:p>
    <w:p>
      <w:pPr>
        <w:pStyle w:val="9"/>
        <w:spacing w:before="240" w:after="0" w:line="420" w:lineRule="exact"/>
        <w:ind w:firstLine="480" w:firstLineChars="200"/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  <w:t>（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  <w:t>）运维管理及文档要求</w:t>
      </w:r>
    </w:p>
    <w:p>
      <w:pPr>
        <w:pStyle w:val="9"/>
        <w:spacing w:before="240" w:after="0" w:line="420" w:lineRule="exact"/>
        <w:ind w:firstLine="480" w:firstLineChars="200"/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  <w:t>①由于采购人对市民提供7×24小时公众服务，重要级别很高；本次招标要求提供基于ITIL管理标准的IT运维服务，并帮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  <w:lang w:val="en-US" w:eastAsia="zh-CN"/>
        </w:rPr>
        <w:t>医院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  <w:t>建立ITSM服务管理体系，以此来优化服务流程，有效管控服务过程，具有持续改进管理措施，保证服务能力和服务质量。</w:t>
      </w:r>
    </w:p>
    <w:p>
      <w:pPr>
        <w:pStyle w:val="9"/>
        <w:spacing w:before="240" w:after="0" w:line="420" w:lineRule="exact"/>
        <w:ind w:firstLine="480" w:firstLineChars="200"/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  <w:t>②日常设备维护符合ITIL服务标准和规范，做到服务请求有记录，处理过程可追溯；问题反馈有跟踪、处理有结果。服务期间要有值班记录，维护记录，定期巡检记录，发现问题及时整改。</w:t>
      </w:r>
    </w:p>
    <w:p>
      <w:pPr>
        <w:pStyle w:val="9"/>
        <w:spacing w:before="240" w:after="0" w:line="420" w:lineRule="exact"/>
        <w:ind w:firstLine="480" w:firstLineChars="200"/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  <w:t>③严格将文档管理贯穿于整个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  <w:lang w:val="en-US" w:eastAsia="zh-CN"/>
        </w:rPr>
        <w:t>维保项目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  <w:t>全过程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  <w:t>文档提交及文档质量将作为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  <w:lang w:val="en-US" w:eastAsia="zh-CN"/>
        </w:rPr>
        <w:t>医院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  <w:t>考核的重要依据。</w:t>
      </w:r>
    </w:p>
    <w:p>
      <w:pPr>
        <w:pStyle w:val="9"/>
        <w:spacing w:before="240" w:after="0" w:line="420" w:lineRule="exact"/>
        <w:ind w:firstLine="480" w:firstLineChars="200"/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  <w:t>（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  <w:t>）服务质量考核要求</w:t>
      </w:r>
    </w:p>
    <w:p>
      <w:pPr>
        <w:pStyle w:val="9"/>
        <w:spacing w:before="240" w:after="0" w:line="420" w:lineRule="exact"/>
        <w:ind w:firstLine="480" w:firstLineChars="200"/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  <w:t>①为保障维保服务质量，实行月度考评办法。根据月度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  <w:lang w:val="en-US" w:eastAsia="zh-CN"/>
        </w:rPr>
        <w:t>考核评分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  <w:t>，实行评级管理和支付。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  <w:lang w:val="en-US" w:eastAsia="zh-CN"/>
        </w:rPr>
        <w:t>考评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  <w:t>分为A、B、C、D、E类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  <w:t>总分为100分。</w:t>
      </w:r>
    </w:p>
    <w:p>
      <w:pPr>
        <w:pStyle w:val="9"/>
        <w:spacing w:before="240" w:after="0" w:line="420" w:lineRule="exact"/>
        <w:ind w:firstLine="480" w:firstLineChars="200"/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  <w:t>A级为90分及以上，当月维保费用全额结算；</w:t>
      </w:r>
    </w:p>
    <w:p>
      <w:pPr>
        <w:pStyle w:val="9"/>
        <w:spacing w:before="240" w:after="0" w:line="420" w:lineRule="exact"/>
        <w:ind w:firstLine="480" w:firstLineChars="200"/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  <w:t>B级为80分至89分，当月维保费按90%金额结算；</w:t>
      </w:r>
    </w:p>
    <w:p>
      <w:pPr>
        <w:pStyle w:val="9"/>
        <w:spacing w:before="240" w:after="0" w:line="420" w:lineRule="exact"/>
        <w:ind w:firstLine="480" w:firstLineChars="200"/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  <w:t>C级为70分至79分，当月维保费按80%金额结算；</w:t>
      </w:r>
    </w:p>
    <w:p>
      <w:pPr>
        <w:pStyle w:val="9"/>
        <w:spacing w:before="240" w:after="0" w:line="420" w:lineRule="exact"/>
        <w:ind w:firstLine="480" w:firstLineChars="200"/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  <w:t>D级为60分至69分，当月维保费按60%金额结算；</w:t>
      </w:r>
    </w:p>
    <w:p>
      <w:pPr>
        <w:pStyle w:val="9"/>
        <w:spacing w:before="240" w:after="0" w:line="42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  <w:lang w:val="en-US" w:eastAsia="zh-CN"/>
        </w:rPr>
        <w:t>E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  <w:t>级为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  <w:t>分至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  <w:lang w:val="en-US" w:eastAsia="zh-CN"/>
        </w:rPr>
        <w:t>59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  <w:t>分，当月维保费按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  <w:t>%金额结算；</w:t>
      </w:r>
    </w:p>
    <w:p>
      <w:pPr>
        <w:pStyle w:val="9"/>
        <w:spacing w:before="240" w:after="0" w:line="420" w:lineRule="exact"/>
        <w:ind w:firstLine="480" w:firstLineChars="200"/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  <w:t>②每月对服务满意度进行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  <w:lang w:val="en-US" w:eastAsia="zh-CN"/>
        </w:rPr>
        <w:t>考核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  <w:t>（优、良、中、差），每出现一个中评，扣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  <w:lang w:val="en-US" w:eastAsia="zh-CN"/>
        </w:rPr>
        <w:t>考核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  <w:t>分0.5分；每出现一个差评，扣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  <w:lang w:val="en-US" w:eastAsia="zh-CN"/>
        </w:rPr>
        <w:t>考核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  <w:t>分1分。</w:t>
      </w:r>
    </w:p>
    <w:p>
      <w:pPr>
        <w:pStyle w:val="9"/>
        <w:spacing w:before="240" w:after="0" w:line="420" w:lineRule="exact"/>
        <w:ind w:firstLine="480" w:firstLineChars="200"/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  <w:t>③必须确保服务期间所有设备和系统的正常运行，按时修复故障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  <w:lang w:val="en-US" w:eastAsia="zh-CN"/>
        </w:rPr>
        <w:t>设备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  <w:t>，若出现投诉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  <w:lang w:val="en-US" w:eastAsia="zh-CN"/>
        </w:rPr>
        <w:t>且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  <w:t>经过核实为有效投诉，则每投诉一次扣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  <w:lang w:val="en-US" w:eastAsia="zh-CN"/>
        </w:rPr>
        <w:t>考核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  <w:t>分2分。</w:t>
      </w:r>
    </w:p>
    <w:p>
      <w:pPr>
        <w:pStyle w:val="9"/>
        <w:spacing w:before="240" w:after="0" w:line="420" w:lineRule="exact"/>
        <w:ind w:firstLine="600" w:firstLineChars="250"/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  <w:t>④每月须出具维护工作报告，维护期间的各种服务记录、维护记录、定期巡检记录等。每缺一项扣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  <w:lang w:val="en-US" w:eastAsia="zh-CN"/>
        </w:rPr>
        <w:t>考核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  <w:t>分1分。</w:t>
      </w:r>
    </w:p>
    <w:p>
      <w:pPr>
        <w:pStyle w:val="9"/>
        <w:spacing w:before="156" w:after="156" w:line="420" w:lineRule="exact"/>
        <w:ind w:right="210" w:firstLine="600" w:firstLineChars="250"/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  <w:t>⑤若因维护工程师操作失误造成系统瘫痪超过一个工作日的，每出现一次扣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  <w:lang w:val="en-US" w:eastAsia="zh-CN"/>
        </w:rPr>
        <w:t>考核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  <w:t>分3分。对蓄意破坏信息系统设施或泄密的，一经查证，医院有权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  <w:lang w:val="en-US" w:eastAsia="zh-CN"/>
        </w:rPr>
        <w:t>立即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  <w:t>终止合同，并追究相关人员责任，导致违法的，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  <w:lang w:val="en-US" w:eastAsia="zh-CN"/>
        </w:rPr>
        <w:t>移送司法机关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  <w:t>处理。</w:t>
      </w:r>
    </w:p>
    <w:p>
      <w:pPr>
        <w:pStyle w:val="8"/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  <w:t>⑥维保更换配件（产品）必须是按厂家标准配置的原装正品,具备正规合法经销渠道的，符合国家各项有关质量标准及采购质量标准的合格产品。</w:t>
      </w:r>
    </w:p>
    <w:p>
      <w:pPr>
        <w:pStyle w:val="9"/>
        <w:spacing w:before="156" w:after="156" w:line="420" w:lineRule="exact"/>
        <w:ind w:right="210" w:firstLine="602" w:firstLineChars="250"/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</w:rPr>
        <w:t>(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</w:rPr>
        <w:t>)合同终止:</w:t>
      </w:r>
    </w:p>
    <w:p>
      <w:pPr>
        <w:pStyle w:val="9"/>
        <w:spacing w:before="156" w:after="156" w:line="360" w:lineRule="auto"/>
        <w:ind w:right="210" w:firstLine="600" w:firstLineChars="250"/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  <w:t>①因中标人原因导致采购人蒙受重大经济、名誉损失的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  <w:lang w:eastAsia="zh-CN"/>
        </w:rPr>
        <w:t>。</w:t>
      </w:r>
    </w:p>
    <w:p>
      <w:pPr>
        <w:pStyle w:val="9"/>
        <w:spacing w:before="156" w:after="156" w:line="360" w:lineRule="auto"/>
        <w:ind w:right="210" w:firstLine="600" w:firstLineChars="250"/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  <w:t>②中标人违反国家法律及地方政府相关规定，且情节严重的。</w:t>
      </w:r>
    </w:p>
    <w:p>
      <w:pPr>
        <w:pStyle w:val="9"/>
        <w:spacing w:before="240" w:after="0" w:line="360" w:lineRule="auto"/>
        <w:ind w:firstLine="600" w:firstLineChars="250"/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  <w:t>③月度考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  <w:lang w:val="en-US" w:eastAsia="zh-CN"/>
        </w:rPr>
        <w:t>评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  <w:t>中有连续两个月为C级及以下的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  <w:lang w:eastAsia="zh-CN"/>
        </w:rPr>
        <w:t>。</w:t>
      </w:r>
    </w:p>
    <w:p>
      <w:pPr>
        <w:pStyle w:val="9"/>
        <w:spacing w:before="156" w:after="156" w:line="360" w:lineRule="auto"/>
        <w:ind w:right="210" w:firstLine="600" w:firstLineChars="250"/>
        <w:rPr>
          <w:rFonts w:hint="default" w:asciiTheme="minorEastAsia" w:hAnsiTheme="minorEastAsia" w:eastAsiaTheme="minorEastAsia" w:cstheme="minorEastAsia"/>
          <w:bCs/>
          <w:color w:val="00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  <w:t>④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  <w:lang w:val="en-US" w:eastAsia="zh-CN"/>
        </w:rPr>
        <w:t>其他终止合同的情形</w:t>
      </w:r>
    </w:p>
    <w:p>
      <w:pPr>
        <w:pStyle w:val="9"/>
        <w:spacing w:before="240" w:after="0" w:line="420" w:lineRule="exact"/>
        <w:ind w:firstLine="600" w:firstLineChars="25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  <w:lang w:val="en-US" w:eastAsia="zh-CN"/>
        </w:rPr>
        <w:t>如发生以上情况，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  <w:t>采购人有权要求终止合同，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  <w:lang w:eastAsia="zh-CN"/>
        </w:rPr>
        <w:t>由此引发的一切损失、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  <w:lang w:val="en-US" w:eastAsia="zh-CN"/>
        </w:rPr>
        <w:t>责任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  <w:t>由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  <w:lang w:val="en-US" w:eastAsia="zh-CN"/>
        </w:rPr>
        <w:t>中标人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  <w:lang w:eastAsia="zh-CN"/>
        </w:rPr>
        <w:t>自行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  <w:t>承担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  <w:lang w:eastAsia="zh-CN"/>
        </w:rPr>
        <w:t>。</w:t>
      </w:r>
    </w:p>
    <w:tbl>
      <w:tblPr>
        <w:tblStyle w:val="4"/>
        <w:tblW w:w="110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981"/>
        <w:gridCol w:w="686"/>
        <w:gridCol w:w="5742"/>
        <w:gridCol w:w="1889"/>
        <w:gridCol w:w="1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ordWrap w:val="0"/>
              <w:spacing w:line="0" w:lineRule="atLeast"/>
              <w:ind w:firstLine="28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序号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ordWrap w:val="0"/>
              <w:spacing w:line="0" w:lineRule="atLeast"/>
              <w:ind w:firstLine="28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评分因素及权重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ordWrap w:val="0"/>
              <w:spacing w:line="0" w:lineRule="atLeast"/>
              <w:ind w:firstLine="28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分值</w:t>
            </w:r>
          </w:p>
        </w:tc>
        <w:tc>
          <w:tcPr>
            <w:tcW w:w="5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ordWrap w:val="0"/>
              <w:spacing w:line="0" w:lineRule="atLeast"/>
              <w:ind w:firstLine="28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评分标准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说明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评分因素类别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报价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30</w:t>
            </w:r>
          </w:p>
        </w:tc>
        <w:tc>
          <w:tcPr>
            <w:tcW w:w="5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ordWrap w:val="0"/>
              <w:spacing w:line="0" w:lineRule="atLeas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满足招标文件要求且投标价格最低的有效投标报价为评标基准价，其价格分为满分。其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他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投标人的价格分统一按照下列公式计算；投标报价得分＝（评标基准价/投标报价）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*30分。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共同评分因素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项目实施方案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10</w:t>
            </w:r>
          </w:p>
        </w:tc>
        <w:tc>
          <w:tcPr>
            <w:tcW w:w="5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ordWrap w:val="0"/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投标人根据采购内容及要求编制整个项目的实施方案（包括方案策划、服务质量目标、人员安排、保障措施、应急处理措施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）进行综合评价。每一项的内容合理、具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备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可行性，满足项目要求，得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分，内容不全，不能满足项目要求不得分。共5项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每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项2分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共计10分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技术类评分因素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维保服务要求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24</w:t>
            </w:r>
          </w:p>
        </w:tc>
        <w:tc>
          <w:tcPr>
            <w:tcW w:w="5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7"/>
              <w:bidi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1.设备维保要求；2.服务人员要求；3.运维管理及文档要求；4.服务质量考核要求。完全满足维保项目招标要求得24分，有一条不满足扣6分，直至本项分值扣完为止。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技术类评分因素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5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项目实施保证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30</w:t>
            </w:r>
          </w:p>
        </w:tc>
        <w:tc>
          <w:tcPr>
            <w:tcW w:w="5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ordWrap w:val="0"/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投标人须提供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医院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现有设备厂家售后工程师名单(含：姓名、24小时联系电话等信息，且需生产厂家加盖鲜章确认)，每提供一个得4分，本项最多得20分。</w:t>
            </w:r>
          </w:p>
          <w:p>
            <w:pPr>
              <w:wordWrap w:val="0"/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为保证项目实施，投标人除投入驻点技术人员外，对额外投入技术人员（需附拟投入人员清单）进行评价，每额外投入一名技术人员加2 分，本项最多得10分。</w:t>
            </w:r>
          </w:p>
          <w:p>
            <w:pPr>
              <w:wordWrap w:val="0"/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投标人须自行联系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医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院主管部门查询现有设备品牌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经济类评分因素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商务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>要求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6</w:t>
            </w:r>
          </w:p>
        </w:tc>
        <w:tc>
          <w:tcPr>
            <w:tcW w:w="5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ordWrap w:val="0"/>
              <w:spacing w:line="0" w:lineRule="atLeas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投标人须提供近三年内类似项目业绩，每提供一个类似业绩得2分，本项最高得6分（须提供类似业绩合同，未提供合同则不得分）。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ordWrap w:val="0"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技术类评分因素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6D151C"/>
    <w:multiLevelType w:val="multilevel"/>
    <w:tmpl w:val="336D151C"/>
    <w:lvl w:ilvl="0" w:tentative="0">
      <w:start w:val="1"/>
      <w:numFmt w:val="decimal"/>
      <w:lvlText w:val="%1、"/>
      <w:lvlJc w:val="left"/>
      <w:pPr>
        <w:ind w:left="1020" w:hanging="36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1500" w:hanging="420"/>
      </w:pPr>
    </w:lvl>
    <w:lvl w:ilvl="2" w:tentative="0">
      <w:start w:val="1"/>
      <w:numFmt w:val="lowerRoman"/>
      <w:lvlText w:val="%3."/>
      <w:lvlJc w:val="right"/>
      <w:pPr>
        <w:ind w:left="1920" w:hanging="420"/>
      </w:pPr>
    </w:lvl>
    <w:lvl w:ilvl="3" w:tentative="0">
      <w:start w:val="1"/>
      <w:numFmt w:val="decimal"/>
      <w:lvlText w:val="%4."/>
      <w:lvlJc w:val="left"/>
      <w:pPr>
        <w:ind w:left="2340" w:hanging="420"/>
      </w:pPr>
    </w:lvl>
    <w:lvl w:ilvl="4" w:tentative="0">
      <w:start w:val="1"/>
      <w:numFmt w:val="lowerLetter"/>
      <w:lvlText w:val="%5)"/>
      <w:lvlJc w:val="left"/>
      <w:pPr>
        <w:ind w:left="2760" w:hanging="420"/>
      </w:pPr>
    </w:lvl>
    <w:lvl w:ilvl="5" w:tentative="0">
      <w:start w:val="1"/>
      <w:numFmt w:val="lowerRoman"/>
      <w:lvlText w:val="%6."/>
      <w:lvlJc w:val="right"/>
      <w:pPr>
        <w:ind w:left="3180" w:hanging="420"/>
      </w:pPr>
    </w:lvl>
    <w:lvl w:ilvl="6" w:tentative="0">
      <w:start w:val="1"/>
      <w:numFmt w:val="decimal"/>
      <w:lvlText w:val="%7."/>
      <w:lvlJc w:val="left"/>
      <w:pPr>
        <w:ind w:left="3600" w:hanging="420"/>
      </w:pPr>
    </w:lvl>
    <w:lvl w:ilvl="7" w:tentative="0">
      <w:start w:val="1"/>
      <w:numFmt w:val="lowerLetter"/>
      <w:lvlText w:val="%8)"/>
      <w:lvlJc w:val="left"/>
      <w:pPr>
        <w:ind w:left="4020" w:hanging="420"/>
      </w:pPr>
    </w:lvl>
    <w:lvl w:ilvl="8" w:tentative="0">
      <w:start w:val="1"/>
      <w:numFmt w:val="lowerRoman"/>
      <w:lvlText w:val="%9."/>
      <w:lvlJc w:val="right"/>
      <w:pPr>
        <w:ind w:left="4440" w:hanging="420"/>
      </w:pPr>
    </w:lvl>
  </w:abstractNum>
  <w:abstractNum w:abstractNumId="1">
    <w:nsid w:val="45671720"/>
    <w:multiLevelType w:val="singleLevel"/>
    <w:tmpl w:val="4567172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0MTg0NzQ0YmI2OTZjOGJlZGZkNTAzYjYzY2NiNWUifQ=="/>
  </w:docVars>
  <w:rsids>
    <w:rsidRoot w:val="273D1C56"/>
    <w:rsid w:val="000740BB"/>
    <w:rsid w:val="000C2C69"/>
    <w:rsid w:val="001D1C4D"/>
    <w:rsid w:val="00223A76"/>
    <w:rsid w:val="002F2608"/>
    <w:rsid w:val="003B4521"/>
    <w:rsid w:val="00481EB0"/>
    <w:rsid w:val="004A0FAE"/>
    <w:rsid w:val="00522EAE"/>
    <w:rsid w:val="005C1D33"/>
    <w:rsid w:val="00642799"/>
    <w:rsid w:val="006719C4"/>
    <w:rsid w:val="006D7F94"/>
    <w:rsid w:val="00752F1F"/>
    <w:rsid w:val="00964936"/>
    <w:rsid w:val="00967EBD"/>
    <w:rsid w:val="00993FFA"/>
    <w:rsid w:val="00A01E1D"/>
    <w:rsid w:val="00AB54F8"/>
    <w:rsid w:val="00B3538B"/>
    <w:rsid w:val="00B7001A"/>
    <w:rsid w:val="00BB5BB7"/>
    <w:rsid w:val="00D86BE1"/>
    <w:rsid w:val="00F42D3B"/>
    <w:rsid w:val="08B4539D"/>
    <w:rsid w:val="122B1E92"/>
    <w:rsid w:val="16807D54"/>
    <w:rsid w:val="251879AE"/>
    <w:rsid w:val="273D1C56"/>
    <w:rsid w:val="41102389"/>
    <w:rsid w:val="416B0F25"/>
    <w:rsid w:val="49BB08D9"/>
    <w:rsid w:val="4C8B2443"/>
    <w:rsid w:val="4D9339A5"/>
    <w:rsid w:val="5A026F22"/>
    <w:rsid w:val="64725282"/>
    <w:rsid w:val="6BF17536"/>
    <w:rsid w:val="721B4F63"/>
    <w:rsid w:val="72E412D4"/>
    <w:rsid w:val="78574C47"/>
    <w:rsid w:val="7B000E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样式 首行缩进:  2 字符"/>
    <w:basedOn w:val="7"/>
    <w:qFormat/>
    <w:uiPriority w:val="0"/>
    <w:pPr>
      <w:spacing w:line="400" w:lineRule="exact"/>
      <w:ind w:firstLine="200" w:firstLineChars="200"/>
    </w:pPr>
    <w:rPr>
      <w:rFonts w:cs="宋体"/>
      <w:sz w:val="24"/>
    </w:rPr>
  </w:style>
  <w:style w:type="paragraph" w:customStyle="1" w:styleId="7">
    <w:name w:val="正文 New"/>
    <w:qFormat/>
    <w:uiPriority w:val="0"/>
    <w:pPr>
      <w:widowControl w:val="0"/>
      <w:jc w:val="both"/>
    </w:pPr>
    <w:rPr>
      <w:rFonts w:ascii="华文中宋" w:hAnsi="华文中宋" w:eastAsia="宋体" w:cs="Times New Roman"/>
      <w:kern w:val="2"/>
      <w:sz w:val="21"/>
      <w:szCs w:val="24"/>
      <w:lang w:val="en-US" w:eastAsia="zh-CN" w:bidi="ar-SA"/>
    </w:rPr>
  </w:style>
  <w:style w:type="paragraph" w:customStyle="1" w:styleId="8">
    <w:name w:val="正文文本 New"/>
    <w:basedOn w:val="9"/>
    <w:qFormat/>
    <w:uiPriority w:val="0"/>
    <w:rPr>
      <w:sz w:val="24"/>
    </w:rPr>
  </w:style>
  <w:style w:type="paragraph" w:customStyle="1" w:styleId="9">
    <w:name w:val="正文 New New New New New New New"/>
    <w:next w:val="8"/>
    <w:qFormat/>
    <w:uiPriority w:val="0"/>
    <w:pPr>
      <w:widowControl w:val="0"/>
      <w:spacing w:after="160" w:line="259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0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2854</Words>
  <Characters>2940</Characters>
  <Lines>1</Lines>
  <Paragraphs>4</Paragraphs>
  <TotalTime>5</TotalTime>
  <ScaleCrop>false</ScaleCrop>
  <LinksUpToDate>false</LinksUpToDate>
  <CharactersWithSpaces>2979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2020-08-24T03:46:00Z</dcterms:created>
  <dc:creator>icyly何</dc:creator>
  <cp:lastModifiedBy>江医罗玲15881637860</cp:lastModifiedBy>
  <dcterms:modified xsi:type="dcterms:W3CDTF">2023-11-28T09:11:43Z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2A97B4CD43D8446BA1A5D8C146DE4CF0_13</vt:lpwstr>
  </property>
</Properties>
</file>