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p>
      <w:pPr>
        <w:ind w:firstLine="2249" w:firstLineChars="8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202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年度调研产品信息清单（第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/>
          <w:b/>
          <w:sz w:val="28"/>
          <w:szCs w:val="28"/>
        </w:rPr>
        <w:t>批）</w:t>
      </w:r>
    </w:p>
    <w:tbl>
      <w:tblPr>
        <w:tblStyle w:val="6"/>
        <w:tblpPr w:leftFromText="180" w:rightFromText="180" w:vertAnchor="text" w:horzAnchor="page" w:tblpXSpec="center" w:tblpY="636"/>
        <w:tblOverlap w:val="never"/>
        <w:tblW w:w="107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176"/>
        <w:gridCol w:w="85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lang w:val="en-US" w:eastAsia="zh-CN" w:bidi="ar"/>
              </w:rPr>
              <w:t>申购设备</w:t>
            </w:r>
          </w:p>
        </w:tc>
        <w:tc>
          <w:tcPr>
            <w:tcW w:w="8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lang w:val="en-US" w:eastAsia="zh-CN" w:bidi="ar"/>
              </w:rPr>
              <w:t>功能需求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DSA</w:t>
            </w:r>
          </w:p>
        </w:tc>
        <w:tc>
          <w:tcPr>
            <w:tcW w:w="8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足心血管和外周介入需要，悬吊机架≥三轴，球管阳极热容量≥3MHU，高压发生器功率≥100KW，最大管电流≥1000mA，数字平板探测器≥14×17英寸，具有类CT功能。原厂三维工作站1台，高压注射器1台，大于等于27英寸检查室监视器4个，大于等于24英寸控制室监视器2个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直线加速器</w:t>
            </w:r>
          </w:p>
        </w:tc>
        <w:tc>
          <w:tcPr>
            <w:tcW w:w="8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1.带有4D-CBCT在线图像引导功能和和SBRT功能。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2.满足临床多种需求，既能做普通的三维适型放疗（3DCRT）,三维调强放射治疗（IMRT），3D,4D图像引导下精确调强放疗（IGRT）,又能做旋转容积调强（VMAT和体部的立体定向放疗（SBRT）。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3.需要放射治疗计划系统（含物理师工作站两套，医生工作站三套）和放射治疗信息管理系统。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4.放射治疗验证设备和头部体部（含乳腺托架）固定架。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SPECT/CT</w:t>
            </w:r>
          </w:p>
        </w:tc>
        <w:tc>
          <w:tcPr>
            <w:tcW w:w="8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Autoform准直器多孔等边，双探头，Flash 3D倍速扫描技术，具有125I粒子植入手术平台。16排及以上CT系统，球管转速≤0.6s/360°。高级后处理工作站。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脱水机</w:t>
            </w:r>
          </w:p>
        </w:tc>
        <w:tc>
          <w:tcPr>
            <w:tcW w:w="8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1、脱水篮筐为长方体设计，单个组织缸容量：≥300个标准塑料组织包埋盒，组织样本蓝必须为方形不锈钢，至少具有2种不同规格大小可选。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2、组织缸开关盖方式：采用电子锁自动进行锁紧和打开，具有双重触发装置，确保缸盖锁紧的安全和可靠性；不能采用手动滑动或旋转式机械锁。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、组织缸盖：缸盖可加热，室温-70°C可调，耐腐蚀，清洁方便。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4、液位监测：单个组织缸内具有≥3个传感器，传感器类型：采用超声波传感器,拒绝采用光学液位传感器；提高设备可维护性。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5、石蜡缸：石蜡缸≥4个，必须采用便于清洁拆卸的抽屉式结构，全部石蜡缸并排位于组织处理缸的正下方；其中3个反应石蜡缸≥4.2L，1个备用蜡缸≥5.6L。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6、试剂瓶数量：试剂瓶数量≥13只，试剂瓶最大容量≥5L，采用透明仓门可见全部试剂瓶。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7、流体控制系统：应用陶瓷材料制作多向旋转阀，使用陶瓷旋转阀可以减少粘连组织掉落的脂肪或石蜡杂质，极大的减少管道或阀孔堵塞的风险。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部件监控功能：设备应具有≥4种监控功能，基础监控功能应包括压力监控、温度监控、流量监控、元器件监控。持续监控设备功能和性能运行参数，实时了解关键部件的的寿命期以及使用频次等信息，提前预知和预警，提升设备稳定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呼吸机</w:t>
            </w:r>
          </w:p>
        </w:tc>
        <w:tc>
          <w:tcPr>
            <w:tcW w:w="8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1.适用范围：儿童、新生儿，有创及无创通气。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2.无空气压缩机，适用于转运病人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3.彩色触摸液晶屏显示≥10寸,全中文操作界面，滑屏操作，最小潮气量可到 2ml，适用于转运新生儿并可叠加 TTV 目标潮气量功能。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4.呼吸模式：PC-SIMV，PC-PSV，P-A/C，CPAP，VCV，V-A/C，VC-SIMV，VC-PSV,Bilevel ( 双水平正压通气）,APRV（压力释放通气）,压力调节目标容量（PRVC），窒息后备通气（所有，参数均可预设置），具有nCPAP 和 nIPPV模式。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腹腔镜系统升级</w:t>
            </w:r>
          </w:p>
        </w:tc>
        <w:tc>
          <w:tcPr>
            <w:tcW w:w="8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出分辨率支持1920x1080，主机自带至少2个USB接口集成图文工作站功能术中记录1920x1080P全高清录像及1920x1080高清图片。可实现单个摄像平台上的双镜联合手术，两幅不同腔镜图像在同一显示器分屏显示。可连接至少6种摄像头，包含全高清显微镜摄像头。可根据手术需要，动态调节画面亮度，暗处增亮。 每一套安装两个以上的显示屏。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血液滤过机</w:t>
            </w:r>
          </w:p>
        </w:tc>
        <w:tc>
          <w:tcPr>
            <w:tcW w:w="8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1.空气监测器最高检测精度：0.0005ml。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2.具备360°红、黄、绿、蓝四种颜色报警指示灯，具有声光报警指示。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3.采用电磁流量计式或复式泵加脱水泵容量式平衡与超滤控制系统。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4.可进行可调钠、碳酸氢盐和超滤曲线治疗，可选择线性或梯级自动调整程序设定任意曲线，并可预存≥6条曲线。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M22超光子治疗系统</w:t>
            </w:r>
          </w:p>
        </w:tc>
        <w:tc>
          <w:tcPr>
            <w:tcW w:w="8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强脉冲光与激光系统主要用于治疗良性血管性病变、治疗良性色素性病变、用于减少和去除多余毛发、用于减轻皱纹、治疗黄褐斑、炎性痤疮。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功能需求：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1、治疗滤光片≥8种；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2、可实现单个子脉冲能量可调；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3、需具备强大的升级空间，后期可升级非剥脱点阵激光。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生物反馈治疗仪</w:t>
            </w:r>
          </w:p>
        </w:tc>
        <w:tc>
          <w:tcPr>
            <w:tcW w:w="8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利用生物反馈原理训练和调动自我调节功能，以脑电波的某一特定频段为靶目标，针对大脑的“弱项”进行训练，使紊乱的大脑机能恢复正常。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脑电反射</w:t>
            </w:r>
          </w:p>
        </w:tc>
        <w:tc>
          <w:tcPr>
            <w:tcW w:w="8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利用声光诱导脑波同步技术对睡眠障碍、强迫症、精神分裂症等多种疾病进行治疗。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常规脑电图+动态脑电图</w:t>
            </w:r>
          </w:p>
        </w:tc>
        <w:tc>
          <w:tcPr>
            <w:tcW w:w="8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1.设备操作简便，汉化操作系统。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 放大器：32通道脑电信号，可切换成16通道；病人事件信号输入EVENT输入；闪光刺激器 ：具有滤光片插槽，可方便更换不同的滤光片提供不同颜色、图案的特异性的光刺激；双阻抗检测：可以在放大器上以及软件界面上启动阻抗检测，电极阻抗的监检测阈值可以设置:2 kΩ、5 kΩ、10 kΩ、20 kΩ、50kΩ，高于预先设定阈值的电极红色高亮显示；导cDSA彩色数字频谱分析实时显示：自定义4导联脑波信号长程监测过程中各个脑波频率信号强度；采样频率：≥4000HZ；50HZ干扰比：大于60db；脑电报告具备：除患者一般信息外，16导脑电线形图、六频段脑电地形图及视频图，报告内容具有脑电图与地形图双模板功能，且可修改，并在一页A4纸上打印；实时回放：在检测记录同时，可对之前上一个患者病历进行回访、分析、报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经颅磁治疗仪（强磁）</w:t>
            </w:r>
          </w:p>
        </w:tc>
        <w:tc>
          <w:tcPr>
            <w:tcW w:w="8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1.产品通过刺激人体中枢神经、外周神经，检测人体中枢神经、外周神经运动传导功能，辅助治疗神经损伤性疾病。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2.最大磁感应强度1-7T，确保仪器刺激强度。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3.主机一体内循环液态冷却设计，冷却液为硅油，确保冷却效果，非风冷和自然冷却；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4.整机运行功耗（动态功耗）≤2500VA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5.主机内部高压储能电容安全可靠，电介质强度可达d.c.3000V，确保用户使用安全。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彩色多普勒超声诊断仪（侧重于心血管、配置经食道心脏探头）</w:t>
            </w:r>
          </w:p>
        </w:tc>
        <w:tc>
          <w:tcPr>
            <w:tcW w:w="8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用于心脏，配置经食道容积超声探头；血管（外周、脑血管）；腹部、浅表等超声诊断和相关科研。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便携式彩色多普勒超声诊断仪</w:t>
            </w:r>
          </w:p>
        </w:tc>
        <w:tc>
          <w:tcPr>
            <w:tcW w:w="8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危急重患者需要提供床旁检查增多，减少患者搬动，降低医疗风险，提高患者满意度，具有良好的社会效益。同时可减少病员流失。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彩超仪</w:t>
            </w:r>
          </w:p>
        </w:tc>
        <w:tc>
          <w:tcPr>
            <w:tcW w:w="8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满足常规腹部、浅表、妇产科及心血管超声检查。其中一台具有弹性成像技术，图像质量清晰，设备操作便捷、响应迅速。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超声多普勒血流分析仪</w:t>
            </w:r>
          </w:p>
        </w:tc>
        <w:tc>
          <w:tcPr>
            <w:tcW w:w="8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一、功能要求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1.支持以下血流参数检测：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收缩期、舒张期峰值，最小舒张速度、加速时间、加速度，心率、阻力指数、动脉指数、收缩期/舒张期速度比值。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2.支持无创多种血压检测方式，包括：多普勒法测血压、PPG法测血压、示波法测血压。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3.具备自动计算血压比值功能。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4.可储存检测数据，具有USB端口，可导出检测数据。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5.支持打印功能，支持网络连接，支持音频输出，具备语音提示功能，真彩高清触摸屏，屏幕尺寸：≥9.7寸，配置可充电锂电池。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二、性能参数要求：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1.多普勒相关性能要求：多普勒通道：≥2个，多普勒探头频率：8MHz、4MHz ，流速测量范围：10cm/s～200cm/s，可实时显示多普勒频谱图。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2.血压测量相关性能要求：气路通道数≥4个，最大袖带压：不超过40kPa（300mmHg），支持袖带全自动充气，支持手动启动、遥控启动血压测量，血氧饱和度。显示范围：SpO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：35%～100%；测量分辨率：SpO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：1%。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半导体激光治疗仪</w:t>
            </w:r>
          </w:p>
        </w:tc>
        <w:tc>
          <w:tcPr>
            <w:tcW w:w="8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激光波长810～1920nm。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VkODcyYjllY2U5NTY1ZTkzNDEzYzU2YTlkZjMyNzkifQ=="/>
  </w:docVars>
  <w:rsids>
    <w:rsidRoot w:val="00881963"/>
    <w:rsid w:val="00000626"/>
    <w:rsid w:val="00000889"/>
    <w:rsid w:val="000523D7"/>
    <w:rsid w:val="00064C93"/>
    <w:rsid w:val="000734D9"/>
    <w:rsid w:val="00075301"/>
    <w:rsid w:val="000770BD"/>
    <w:rsid w:val="000931A6"/>
    <w:rsid w:val="000F4588"/>
    <w:rsid w:val="00104032"/>
    <w:rsid w:val="00106B64"/>
    <w:rsid w:val="00140368"/>
    <w:rsid w:val="001B15DF"/>
    <w:rsid w:val="001B4290"/>
    <w:rsid w:val="001C06DE"/>
    <w:rsid w:val="001D572E"/>
    <w:rsid w:val="00200BE1"/>
    <w:rsid w:val="00201F5A"/>
    <w:rsid w:val="002068B9"/>
    <w:rsid w:val="002521E8"/>
    <w:rsid w:val="002612F2"/>
    <w:rsid w:val="00276976"/>
    <w:rsid w:val="00280780"/>
    <w:rsid w:val="002B1412"/>
    <w:rsid w:val="002C4B8D"/>
    <w:rsid w:val="002D40AA"/>
    <w:rsid w:val="0030686C"/>
    <w:rsid w:val="00314723"/>
    <w:rsid w:val="00320116"/>
    <w:rsid w:val="00320861"/>
    <w:rsid w:val="00322E52"/>
    <w:rsid w:val="00324E04"/>
    <w:rsid w:val="00345878"/>
    <w:rsid w:val="003B2FA4"/>
    <w:rsid w:val="003B4944"/>
    <w:rsid w:val="003B6C10"/>
    <w:rsid w:val="003C200E"/>
    <w:rsid w:val="003E5972"/>
    <w:rsid w:val="0041229B"/>
    <w:rsid w:val="004271A1"/>
    <w:rsid w:val="00442746"/>
    <w:rsid w:val="004929AB"/>
    <w:rsid w:val="00494E9C"/>
    <w:rsid w:val="004B06B2"/>
    <w:rsid w:val="004B74D3"/>
    <w:rsid w:val="004C1A7F"/>
    <w:rsid w:val="00500B0E"/>
    <w:rsid w:val="00533E9F"/>
    <w:rsid w:val="0054581E"/>
    <w:rsid w:val="00560519"/>
    <w:rsid w:val="005A2CFC"/>
    <w:rsid w:val="005C57BA"/>
    <w:rsid w:val="005E0118"/>
    <w:rsid w:val="005E0442"/>
    <w:rsid w:val="00606C42"/>
    <w:rsid w:val="00610A6A"/>
    <w:rsid w:val="006273AB"/>
    <w:rsid w:val="00647A37"/>
    <w:rsid w:val="00662449"/>
    <w:rsid w:val="0067024C"/>
    <w:rsid w:val="006E269D"/>
    <w:rsid w:val="006F39E0"/>
    <w:rsid w:val="00713626"/>
    <w:rsid w:val="00731FB9"/>
    <w:rsid w:val="00760306"/>
    <w:rsid w:val="007A11FF"/>
    <w:rsid w:val="007C1118"/>
    <w:rsid w:val="007E27A7"/>
    <w:rsid w:val="00800A20"/>
    <w:rsid w:val="008101BC"/>
    <w:rsid w:val="0081279E"/>
    <w:rsid w:val="0081333A"/>
    <w:rsid w:val="00832933"/>
    <w:rsid w:val="00850A09"/>
    <w:rsid w:val="008529D5"/>
    <w:rsid w:val="00881963"/>
    <w:rsid w:val="008C6FCC"/>
    <w:rsid w:val="009007AD"/>
    <w:rsid w:val="00903E76"/>
    <w:rsid w:val="00927B8D"/>
    <w:rsid w:val="00942A13"/>
    <w:rsid w:val="00954A42"/>
    <w:rsid w:val="009A3400"/>
    <w:rsid w:val="009A7314"/>
    <w:rsid w:val="009E2C35"/>
    <w:rsid w:val="00A02E4B"/>
    <w:rsid w:val="00A0501F"/>
    <w:rsid w:val="00A200F1"/>
    <w:rsid w:val="00A43102"/>
    <w:rsid w:val="00A43150"/>
    <w:rsid w:val="00A55360"/>
    <w:rsid w:val="00A75925"/>
    <w:rsid w:val="00A77790"/>
    <w:rsid w:val="00AF55F1"/>
    <w:rsid w:val="00AF7F81"/>
    <w:rsid w:val="00B10396"/>
    <w:rsid w:val="00B5624D"/>
    <w:rsid w:val="00BA7F8B"/>
    <w:rsid w:val="00BF2E56"/>
    <w:rsid w:val="00C165FB"/>
    <w:rsid w:val="00C277F6"/>
    <w:rsid w:val="00C3450E"/>
    <w:rsid w:val="00C41B5F"/>
    <w:rsid w:val="00C41F6C"/>
    <w:rsid w:val="00C42D8B"/>
    <w:rsid w:val="00C61B1A"/>
    <w:rsid w:val="00C8408D"/>
    <w:rsid w:val="00CC4463"/>
    <w:rsid w:val="00CE702B"/>
    <w:rsid w:val="00D00283"/>
    <w:rsid w:val="00D1339B"/>
    <w:rsid w:val="00D23AAA"/>
    <w:rsid w:val="00D44D6F"/>
    <w:rsid w:val="00D532B9"/>
    <w:rsid w:val="00D7734E"/>
    <w:rsid w:val="00D93E97"/>
    <w:rsid w:val="00DA1525"/>
    <w:rsid w:val="00DD35B5"/>
    <w:rsid w:val="00DE62ED"/>
    <w:rsid w:val="00E1024D"/>
    <w:rsid w:val="00E1628D"/>
    <w:rsid w:val="00E23BCD"/>
    <w:rsid w:val="00E83FB0"/>
    <w:rsid w:val="00EB75A1"/>
    <w:rsid w:val="00EF4BA7"/>
    <w:rsid w:val="00F330AB"/>
    <w:rsid w:val="00F45F54"/>
    <w:rsid w:val="00F6727B"/>
    <w:rsid w:val="00F73346"/>
    <w:rsid w:val="00F80606"/>
    <w:rsid w:val="00F83EC3"/>
    <w:rsid w:val="00F926C7"/>
    <w:rsid w:val="00F935A1"/>
    <w:rsid w:val="00FA27A5"/>
    <w:rsid w:val="00FA6A37"/>
    <w:rsid w:val="00FB0125"/>
    <w:rsid w:val="00FB6360"/>
    <w:rsid w:val="00FC5BE3"/>
    <w:rsid w:val="00FD3366"/>
    <w:rsid w:val="0525714B"/>
    <w:rsid w:val="07F62747"/>
    <w:rsid w:val="091E4484"/>
    <w:rsid w:val="0CAF6CC1"/>
    <w:rsid w:val="16BD7726"/>
    <w:rsid w:val="26C652A8"/>
    <w:rsid w:val="2EC84109"/>
    <w:rsid w:val="455D31B6"/>
    <w:rsid w:val="4E746EFE"/>
    <w:rsid w:val="585E163F"/>
    <w:rsid w:val="5B97027C"/>
    <w:rsid w:val="62DA24E1"/>
    <w:rsid w:val="6A594D3E"/>
    <w:rsid w:val="6E2D287B"/>
    <w:rsid w:val="783D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3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font6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0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6">
    <w:name w:val="font41"/>
    <w:basedOn w:val="8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szCs w:val="24"/>
    </w:rPr>
  </w:style>
  <w:style w:type="paragraph" w:styleId="18">
    <w:name w:val="List Paragraph"/>
    <w:basedOn w:val="1"/>
    <w:link w:val="19"/>
    <w:qFormat/>
    <w:uiPriority w:val="99"/>
    <w:pPr>
      <w:ind w:firstLine="420" w:firstLineChars="200"/>
    </w:pPr>
  </w:style>
  <w:style w:type="character" w:customStyle="1" w:styleId="19">
    <w:name w:val="列出段落 Char"/>
    <w:link w:val="18"/>
    <w:qFormat/>
    <w:uiPriority w:val="34"/>
  </w:style>
  <w:style w:type="paragraph" w:customStyle="1" w:styleId="20">
    <w:name w:val="fonts01-jianjv"/>
    <w:basedOn w:val="1"/>
    <w:qFormat/>
    <w:uiPriority w:val="0"/>
    <w:pPr>
      <w:spacing w:before="100" w:beforeAutospacing="1" w:after="100" w:afterAutospacing="1" w:line="240" w:lineRule="atLeast"/>
      <w:jc w:val="left"/>
    </w:pPr>
    <w:rPr>
      <w:rFonts w:ascii="ˎ̥" w:hAnsi="ˎ̥" w:eastAsia="宋体" w:cs="Times New Roman"/>
      <w:sz w:val="18"/>
      <w:szCs w:val="24"/>
    </w:rPr>
  </w:style>
  <w:style w:type="paragraph" w:customStyle="1" w:styleId="21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character" w:customStyle="1" w:styleId="22">
    <w:name w:val="font11"/>
    <w:basedOn w:val="8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1827</Words>
  <Characters>1986</Characters>
  <Lines>15</Lines>
  <Paragraphs>4</Paragraphs>
  <TotalTime>12</TotalTime>
  <ScaleCrop>false</ScaleCrop>
  <LinksUpToDate>false</LinksUpToDate>
  <CharactersWithSpaces>2000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2022-07-05T03:14:00Z</dcterms:created>
  <dc:creator>蒲清华</dc:creator>
  <cp:lastModifiedBy>甯仁义</cp:lastModifiedBy>
  <dcterms:modified xsi:type="dcterms:W3CDTF">2023-09-06T08:34:32Z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618DB68E299943EB8BF97D55A3EC7EF4</vt:lpwstr>
  </property>
</Properties>
</file>