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江油市人民医院信用就医建设项目合作金融机构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>竞争性磋商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公告</w:t>
      </w:r>
    </w:p>
    <w:p>
      <w:pPr>
        <w:widowControl/>
        <w:spacing w:line="44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</w:t>
      </w:r>
    </w:p>
    <w:p>
      <w:pPr>
        <w:widowControl/>
        <w:spacing w:line="440" w:lineRule="atLeast"/>
        <w:ind w:firstLine="482" w:firstLineChars="200"/>
        <w:jc w:val="left"/>
        <w:rPr>
          <w:rFonts w:ascii="微软雅黑" w:hAnsi="微软雅黑" w:eastAsia="微软雅黑" w:cs="宋体"/>
          <w:b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一、项目名称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江油市人民医院信用就医建设项目。</w:t>
      </w:r>
    </w:p>
    <w:p>
      <w:pPr>
        <w:widowControl/>
        <w:spacing w:line="440" w:lineRule="atLeast"/>
        <w:ind w:firstLine="482" w:firstLineChars="20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二、项目简介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在江油市</w:t>
      </w:r>
      <w:r>
        <w:rPr>
          <w:rFonts w:ascii="宋体" w:hAnsi="宋体" w:eastAsia="宋体" w:cs="Calibri"/>
          <w:color w:val="333333"/>
          <w:kern w:val="0"/>
          <w:sz w:val="24"/>
          <w:szCs w:val="24"/>
        </w:rPr>
        <w:t>人民医院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上线信用就医服务, 以门急诊场景为主，可签约用户覆盖年满18岁且在绵阳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市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正常缴纳社保的市民。为签约用户提供信用就医额度，全面实现“先诊疗、后付费”、就医支付“最多跑一次”应用场景, 切实提高市民就医便捷度、医疗服务效率和市民获得感。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三、总投资及资金来源</w:t>
      </w:r>
    </w:p>
    <w:p>
      <w:pPr>
        <w:widowControl/>
        <w:spacing w:line="440" w:lineRule="atLeast"/>
        <w:ind w:firstLine="420"/>
        <w:textAlignment w:val="top"/>
        <w:rPr>
          <w:rFonts w:ascii="宋体" w:hAnsi="宋体" w:eastAsia="宋体" w:cs="Calibri"/>
          <w:b/>
          <w:color w:val="333333"/>
          <w:kern w:val="0"/>
          <w:szCs w:val="21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本项目建设及运维费用均由中选机构承担。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四、供应商资格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1.满足《中华人民共和国政府采购法》第二十二条规定: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（1）具有独立承担民事责任的能力；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（2）具有良好的商业信誉和健全的财务会计制度；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（3）具有履行合作协议所必需的设备和专业技术能力；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（4）有依法缴纳税收和社会保障资金的良好记录；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（5）参加本次政府采购活动前年内，在经营活动中没有重大违法记录；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（6）本项目参加政府采购活动的供应商、法定代表人(非法人负责人、自然人本人)在前</w:t>
      </w:r>
      <w:r>
        <w:rPr>
          <w:rFonts w:ascii="宋体" w:hAnsi="宋体" w:eastAsia="宋体" w:cs="Calibri"/>
          <w:color w:val="333333"/>
          <w:kern w:val="0"/>
          <w:sz w:val="24"/>
          <w:szCs w:val="24"/>
        </w:rPr>
        <w:t>3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年内不得具有行贿犯罪记录；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（7）法律、行政法规规定的其他条件。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2.落实政府采购政策需满足的资格要求：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无</w:t>
      </w:r>
    </w:p>
    <w:p>
      <w:pPr>
        <w:widowControl/>
        <w:spacing w:line="440" w:lineRule="atLeast"/>
        <w:ind w:firstLine="480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3.本项目的特定资格要求：</w:t>
      </w:r>
    </w:p>
    <w:p>
      <w:pPr>
        <w:widowControl/>
        <w:spacing w:line="440" w:lineRule="atLeast"/>
        <w:ind w:firstLine="480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合作方须为金融行业机构。</w:t>
      </w:r>
    </w:p>
    <w:p>
      <w:pPr>
        <w:widowControl/>
        <w:spacing w:line="440" w:lineRule="atLeast"/>
        <w:ind w:firstLine="480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80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80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80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五、资格证明材料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</w:p>
    <w:tbl>
      <w:tblPr>
        <w:tblStyle w:val="9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972"/>
        <w:gridCol w:w="5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供应商应提供的相关证明材料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要求提供的相关证明材料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  <w:jc w:val="center"/>
        </w:trPr>
        <w:tc>
          <w:tcPr>
            <w:tcW w:w="11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具有独立承担民事责任的能力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提供企业分支机构营业执照或统一社会信用代码的营业执照（扫描件）。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具有良好的商业信誉和健全的财务会计制度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提供近三年中任意一年的财务报表（复印件扫描件，加盖供应商鲜章）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具有履行合作协议所必需的设备和专业技术能力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由供应商自行对本单位（个人）是否具备履行合作协议所必需的设备和专业技术能力进行评价。若具有履行合作协议所必需的设备和专业技术能力的，参与投标时，须出具《履行合作协议所必需的设备和专业技术能力承诺书》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提供承诺函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有依法缴纳税收和社会保障资金的良好记录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供应商应提供近一年内任意一个月的缴纳税收的银行电子回单（票据）或税务部门出具的纳税证明或者纳税申报资料（复印件扫描件，加盖供应商鲜章），供应商近一年内任意一个月的缴纳社保的银行电子回单（票据）或社保部门出具的社保缴纳证明材料（复印件扫描件，加盖供应商鲜章）；新成立公司不足6个月或自然人，供应商在参加政府采购活动时做出承诺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提供承诺函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参加本次政府采购活动前三年内，在经营活动中没有重大违法记录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供应商在参加本次采购活动时做出书面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提供承诺函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本项目参加政府采购活动的投标人、法定代表人(非法人负责人、自然人本人)在前3年内不得具有行贿犯罪记录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没有行贿犯罪记录的承诺函（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提供承诺函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法律、行政法规规定的其他条件</w:t>
            </w:r>
          </w:p>
        </w:tc>
        <w:tc>
          <w:tcPr>
            <w:tcW w:w="56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采购人对法律、行政法规规定的其他条件无特殊要求的，可不提供其他证明材料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资质性要求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资质要求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其他类似效力要求</w:t>
            </w:r>
          </w:p>
        </w:tc>
        <w:tc>
          <w:tcPr>
            <w:tcW w:w="7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无</w:t>
            </w:r>
          </w:p>
        </w:tc>
      </w:tr>
    </w:tbl>
    <w:p>
      <w:pPr>
        <w:widowControl/>
        <w:spacing w:line="440" w:lineRule="atLeast"/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rPr>
          <w:rFonts w:ascii="Calibri" w:hAnsi="Calibri" w:eastAsia="微软雅黑" w:cs="Calibri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六、合作内容及具体要求</w:t>
      </w:r>
    </w:p>
    <w:tbl>
      <w:tblPr>
        <w:tblStyle w:val="9"/>
        <w:tblW w:w="87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928"/>
        <w:gridCol w:w="5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合作内容</w:t>
            </w:r>
          </w:p>
        </w:tc>
        <w:tc>
          <w:tcPr>
            <w:tcW w:w="5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信息化实施方案</w:t>
            </w:r>
          </w:p>
        </w:tc>
        <w:tc>
          <w:tcPr>
            <w:tcW w:w="5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提供内容详细针对用户需求的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信息化实施方案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方案内容需包含对相关政策要求的解读，重要进程及时间节点的安排，售后维护方案。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授信签约移动端渠道建设服务（实质性要求）</w:t>
            </w:r>
          </w:p>
        </w:tc>
        <w:tc>
          <w:tcPr>
            <w:tcW w:w="5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1.移动端服务、数据库服务应部署在市政务云，由政府监管。对接市大数据中心相关数据平台，获取用于居民信用额度赋予的相关个人信息数据。（实质性要求）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2.相关信息服务应采用先进安全可靠的信息技术，保障存储个人信息的相关信息平台履行三级（等级保护2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.0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）以上等级保护相关要求。（实质性要求）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1.对绵阳市正常缴纳社保的居民，提供专属就医额度；（实质性要求）</w:t>
            </w:r>
          </w:p>
          <w:p>
            <w:pPr>
              <w:widowControl/>
              <w:spacing w:line="440" w:lineRule="atLeast"/>
              <w:jc w:val="left"/>
              <w:rPr>
                <w:rFonts w:hint="default" w:ascii="Calibri" w:hAnsi="Calibri" w:eastAsia="宋体" w:cs="Calibri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2.对接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江油人民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医院完成信用支付接口联调。覆盖门急诊场景。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后期若有政策变动或上级主管部门要求，按照政策或上级主管部门要求执行。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宣传推广服务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1.在</w:t>
            </w:r>
            <w:r>
              <w:rPr>
                <w:rFonts w:ascii="宋体" w:hAnsi="宋体" w:eastAsia="宋体" w:cs="Calibri"/>
                <w:kern w:val="0"/>
                <w:sz w:val="24"/>
                <w:szCs w:val="24"/>
              </w:rPr>
              <w:t>我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院安排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专职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地推人员开展信用就医地推服务。（实质性要求）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2.配合制作海报、折页、视频等形式的宣传素材。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（实质性要求）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其它服务要求</w:t>
            </w:r>
          </w:p>
        </w:tc>
        <w:tc>
          <w:tcPr>
            <w:tcW w:w="5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1.授信签约渠道及信用支付接口对接应于签订合作协议后1个月内完成。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2.授信签约相关信息化服务应提供终身免费售后服务期，提供终生技术支持及服务，包括但不限于电话咨询、现场排障等形式。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3.合作机构提供的信息化服务应秉持开放兼容原则，应为其它具备条件的金融机构后期参与信用就医服务提供必要条件，包括但不限于开发标准化接口、为其它金融机构提供接入指导服务等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（实质性要求）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4.金融服务原则上不低于1年，宣传推广服务原则上不低于6个月。（实质性要求）到期后双方友好协商确定下一步合作方式及内容。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5.履行其它经双方友好协商，列明在合作协议中的服务内容。</w:t>
            </w:r>
          </w:p>
        </w:tc>
      </w:tr>
    </w:tbl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七、商务要求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交货期：签订合作协议后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Calibri"/>
          <w:color w:val="333333"/>
          <w:kern w:val="0"/>
          <w:sz w:val="24"/>
          <w:szCs w:val="24"/>
        </w:rPr>
        <w:t>周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内完成信息化相关服务平台及支付接口的开发对接，并交付采购人验收、使用。</w:t>
      </w: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本项目不接受联合体参与。（实质性要求）</w:t>
      </w: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八、评定方式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（1）综合评分法</w:t>
      </w:r>
    </w:p>
    <w:tbl>
      <w:tblPr>
        <w:tblStyle w:val="9"/>
        <w:tblW w:w="863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838"/>
        <w:gridCol w:w="1491"/>
        <w:gridCol w:w="1018"/>
        <w:gridCol w:w="3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类别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评审内容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分值</w:t>
            </w:r>
          </w:p>
        </w:tc>
        <w:tc>
          <w:tcPr>
            <w:tcW w:w="3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业绩案例(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0分)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67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同类案例开展情况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240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每提供一个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类似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案例得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分；最多得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0分。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提供中标通知书或合同复印件加盖鲜章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2" w:type="dxa"/>
            <w:vMerge w:val="restart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实施方案(50分)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67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信息化实施方案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240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</w:rPr>
              <w:t>按照方案详细度、可实施程度、内容程度、理</w:t>
            </w:r>
            <w:r>
              <w:rPr>
                <w:rFonts w:hint="eastAsia" w:ascii="宋体" w:hAnsi="宋体" w:eastAsia="宋体" w:cs="宋体"/>
                <w:spacing w:val="5"/>
                <w:kern w:val="0"/>
                <w:sz w:val="24"/>
                <w:szCs w:val="24"/>
              </w:rPr>
              <w:t>解程度等，各方面进行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评审，在相应的档次内独立打分。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一档（0～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分）：服务方案简单，服务承诺基本满足磋商文件的要求；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二档（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分）：服务方案及承诺较详细、全面，安排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专职服务人员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4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三档（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分）：服务方案及承诺详细、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全面，安排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专职服务人员充足、职责清晰，应用操作及维护计划明确详细、安排恰当、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人员经验丰富，承诺提供7*24小时故障响应支持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提供承诺函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，提供的故障出现解决方案。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2" w:type="dxa"/>
            <w:vMerge w:val="continue"/>
            <w:tcBorders>
              <w:top w:val="inset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67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金融服务保障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240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6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</w:rPr>
              <w:t>对提供的专属就医额度、最长还款免息期、逾期罚息规则等进行综合评价。就医额度1000元以下得2分，1000-</w:t>
            </w: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</w:rPr>
              <w:t>000元得4分，3000元以上得6分；最长还款免息期低于30天得2分、30-40天得4分，40天以上得6分；每日逾期罚息高于0.05%得2分，0.03%-0.05%得4分，0.03%以下得6分；为首次签约患者提供补贴优惠方案的得2分，无不得分。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802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kern w:val="0"/>
                <w:sz w:val="24"/>
                <w:szCs w:val="24"/>
              </w:rPr>
              <w:t>实施保障(20分)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67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服务团队保障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针对本项目的服务团队的人员数量、组成结构情况进行评定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服务团队5人及以上得10分，3人及以上5人以下得5分，3人以下得2分。没有不得分。提供服务保障团队人员名单。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802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Calibri" w:hAnsi="Calibri" w:eastAsia="宋体" w:cs="Calibri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67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售后服务与服务质量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60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</w:rPr>
              <w:t>根据项目要求进行分析，制定出实质性的金融服务保障计划、宣传推广计划、信息化服务售后保障计划、信息安全保障方案等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评审符合项目实际采购需求，具有可实施性得10分，有一项缺项扣2.5分，有一项内容有缺陷或瑕疵扣1分。（“缺陷或瑕疵”指：与本项目采购标的内容不匹配、不符合项目特点、不符合技术规范要求、内容简略、内容与本项目无关、前后逻辑相悖、相同内容表述不一致、方案与标题内容不一致、技术规范要求引用不一致等任意一种情形。）</w:t>
            </w:r>
          </w:p>
          <w:p>
            <w:pPr>
              <w:widowControl/>
              <w:spacing w:line="440" w:lineRule="atLeast"/>
              <w:ind w:firstLine="460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（2）合作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机构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的确定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1.报名。截止报名时间止，报名单位达到3个以上（含3个）进入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磋商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程序。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2.评审。由江油市人民医院相关人员组成评审小组，对参加竞争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性磋商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的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机构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进行测评打分，得分最高者中选。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九、报名时间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2023年8月11日至2023年8月</w:t>
      </w:r>
      <w:r>
        <w:rPr>
          <w:rFonts w:ascii="宋体" w:hAnsi="宋体" w:eastAsia="宋体" w:cs="Calibri"/>
          <w:color w:val="333333"/>
          <w:kern w:val="0"/>
          <w:sz w:val="24"/>
          <w:szCs w:val="24"/>
        </w:rPr>
        <w:t>1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日17：00。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b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十、磋商时间</w:t>
      </w: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2023年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日上午</w:t>
      </w:r>
      <w:r>
        <w:rPr>
          <w:rFonts w:ascii="宋体" w:hAnsi="宋体" w:eastAsia="宋体" w:cs="Calibri"/>
          <w:color w:val="333333"/>
          <w:kern w:val="0"/>
          <w:sz w:val="24"/>
          <w:szCs w:val="24"/>
        </w:rPr>
        <w:t>10:00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（若有变动另行通知）迟到10分钟将被视为自动弃权。</w:t>
      </w:r>
    </w:p>
    <w:p>
      <w:pPr>
        <w:widowControl/>
        <w:spacing w:line="440" w:lineRule="atLeast"/>
        <w:ind w:firstLine="420"/>
        <w:textAlignment w:val="top"/>
        <w:rPr>
          <w:rFonts w:hint="default" w:ascii="Calibri" w:hAnsi="Calibri" w:eastAsia="宋体" w:cs="Calibri"/>
          <w:b/>
          <w:color w:val="333333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十一、磋商地点：</w:t>
      </w: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  <w:lang w:val="en-US" w:eastAsia="zh-CN"/>
        </w:rPr>
        <w:t>以电话或邮件通知为准</w:t>
      </w:r>
    </w:p>
    <w:p>
      <w:pPr>
        <w:widowControl/>
        <w:spacing w:line="440" w:lineRule="atLeast"/>
        <w:ind w:firstLine="420"/>
        <w:textAlignment w:val="top"/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firstLine="420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十</w:t>
      </w: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Calibri"/>
          <w:b/>
          <w:color w:val="333333"/>
          <w:kern w:val="0"/>
          <w:sz w:val="24"/>
          <w:szCs w:val="24"/>
        </w:rPr>
        <w:t>、项目咨询电话：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苏老师 0816-3267074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    </w:t>
      </w:r>
    </w:p>
    <w:p>
      <w:pPr>
        <w:widowControl/>
        <w:spacing w:line="440" w:lineRule="atLeast"/>
        <w:ind w:right="480"/>
        <w:jc w:val="right"/>
        <w:textAlignment w:val="top"/>
        <w:rPr>
          <w:rFonts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right="480"/>
        <w:jc w:val="right"/>
        <w:textAlignment w:val="top"/>
        <w:rPr>
          <w:rFonts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left="5460" w:right="960"/>
        <w:jc w:val="center"/>
        <w:textAlignment w:val="top"/>
        <w:rPr>
          <w:rFonts w:hint="eastAsia" w:ascii="宋体" w:hAnsi="宋体" w:eastAsia="宋体" w:cs="Calibri"/>
          <w:color w:val="333333"/>
          <w:kern w:val="0"/>
          <w:sz w:val="24"/>
          <w:szCs w:val="24"/>
        </w:rPr>
      </w:pPr>
    </w:p>
    <w:p>
      <w:pPr>
        <w:widowControl/>
        <w:spacing w:line="440" w:lineRule="atLeast"/>
        <w:ind w:left="5460" w:right="960"/>
        <w:jc w:val="center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江油市人民医院</w:t>
      </w:r>
    </w:p>
    <w:p>
      <w:pPr>
        <w:widowControl/>
        <w:spacing w:line="440" w:lineRule="atLeast"/>
        <w:ind w:right="960"/>
        <w:jc w:val="right"/>
        <w:textAlignment w:val="top"/>
        <w:rPr>
          <w:rFonts w:ascii="Calibri" w:hAnsi="Calibri" w:eastAsia="微软雅黑" w:cs="Calibri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2023年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日</w:t>
      </w:r>
    </w:p>
    <w:p>
      <w:pPr>
        <w:widowControl/>
        <w:spacing w:line="440" w:lineRule="atLeast"/>
        <w:rPr>
          <w:rFonts w:ascii="Calibri" w:hAnsi="Calibri" w:eastAsia="宋体" w:cs="Calibri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33333"/>
          <w:kern w:val="0"/>
          <w:sz w:val="24"/>
          <w:szCs w:val="24"/>
        </w:rPr>
        <w:t>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14854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DI2Njk0NmYwYTAyNzIwYzA3ZWVjMWJlMzJjYjcifQ=="/>
  </w:docVars>
  <w:rsids>
    <w:rsidRoot w:val="004A7D34"/>
    <w:rsid w:val="00003160"/>
    <w:rsid w:val="000730AD"/>
    <w:rsid w:val="000C3B18"/>
    <w:rsid w:val="001003DB"/>
    <w:rsid w:val="002367F3"/>
    <w:rsid w:val="002D4EE7"/>
    <w:rsid w:val="002E2863"/>
    <w:rsid w:val="00347775"/>
    <w:rsid w:val="00420962"/>
    <w:rsid w:val="004A7D34"/>
    <w:rsid w:val="006C0DE2"/>
    <w:rsid w:val="0075087E"/>
    <w:rsid w:val="007C616C"/>
    <w:rsid w:val="00C63AF4"/>
    <w:rsid w:val="00CA196C"/>
    <w:rsid w:val="00E85EE2"/>
    <w:rsid w:val="00F77B58"/>
    <w:rsid w:val="0FF56841"/>
    <w:rsid w:val="18BD5C67"/>
    <w:rsid w:val="199A4166"/>
    <w:rsid w:val="1C8F393E"/>
    <w:rsid w:val="1FD2426D"/>
    <w:rsid w:val="249935AC"/>
    <w:rsid w:val="303C28A0"/>
    <w:rsid w:val="30874141"/>
    <w:rsid w:val="3CB46D7D"/>
    <w:rsid w:val="43456981"/>
    <w:rsid w:val="437A59A8"/>
    <w:rsid w:val="46EA2FED"/>
    <w:rsid w:val="5EA02E9A"/>
    <w:rsid w:val="66E95747"/>
    <w:rsid w:val="677928DD"/>
    <w:rsid w:val="6B146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ind w:firstLine="880" w:firstLineChars="200"/>
    </w:pPr>
  </w:style>
  <w:style w:type="paragraph" w:styleId="4">
    <w:name w:val="Body Text First Indent 2"/>
    <w:basedOn w:val="5"/>
    <w:qFormat/>
    <w:uiPriority w:val="0"/>
    <w:pPr>
      <w:ind w:left="0" w:leftChars="0" w:firstLine="200" w:firstLineChars="200"/>
      <w:jc w:val="left"/>
    </w:pPr>
    <w:rPr>
      <w:rFonts w:ascii="宋体" w:hAnsi="宋体"/>
    </w:rPr>
  </w:style>
  <w:style w:type="paragraph" w:styleId="5">
    <w:name w:val="Body Text Indent"/>
    <w:basedOn w:val="1"/>
    <w:qFormat/>
    <w:uiPriority w:val="0"/>
    <w:pPr>
      <w:ind w:firstLine="830" w:firstLineChars="352"/>
    </w:pPr>
    <w:rPr>
      <w:rFonts w:ascii="仿宋_GB2312" w:hAnsi="Calibri" w:eastAsia="仿宋_GB2312"/>
      <w:kern w:val="0"/>
      <w:sz w:val="32"/>
      <w:szCs w:val="20"/>
    </w:rPr>
  </w:style>
  <w:style w:type="paragraph" w:styleId="6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2838</Words>
  <Characters>2947</Characters>
  <Lines>19</Lines>
  <Paragraphs>5</Paragraphs>
  <TotalTime>12</TotalTime>
  <ScaleCrop>false</ScaleCrop>
  <LinksUpToDate>false</LinksUpToDate>
  <CharactersWithSpaces>2955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2023-06-09T10:58:00Z</dcterms:created>
  <dc:creator>PC</dc:creator>
  <cp:lastModifiedBy>睡不醒</cp:lastModifiedBy>
  <dcterms:modified xsi:type="dcterms:W3CDTF">2023-08-18T03:24:48Z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64A8294CB3B7434A97AE076606039A87_13</vt:lpwstr>
  </property>
</Properties>
</file>