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ind w:firstLine="2249" w:firstLineChars="8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年度调研产品信息清单（第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28"/>
        </w:rPr>
        <w:t>批）</w:t>
      </w:r>
    </w:p>
    <w:tbl>
      <w:tblPr>
        <w:tblStyle w:val="8"/>
        <w:tblW w:w="7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501"/>
        <w:gridCol w:w="5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申购设备</w:t>
            </w:r>
          </w:p>
        </w:tc>
        <w:tc>
          <w:tcPr>
            <w:tcW w:w="5195" w:type="dxa"/>
            <w:vAlign w:val="center"/>
          </w:tcPr>
          <w:p>
            <w:pPr>
              <w:widowControl/>
              <w:ind w:firstLine="1687" w:firstLineChars="800"/>
              <w:jc w:val="both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ajorEastAsia" w:hAnsiTheme="majorEastAsia" w:eastAsiaTheme="majorEastAsia"/>
                <w:bCs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高清电子胃肠镜系统（含主机、胃镜2根、肠镜1根）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1、强调图像中的细微形态的对比度和内镜图像的轮廓；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2、镜身力传导性强，强力传导提高操作性，满足对于不同病例及肠道部位选择合适的硬度，提高操作性能；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3、搭载电子染色功能，用于区分肿瘤组织以及提高早癌筛查率。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低强度脉冲治疗仪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治疗探头为方型，有效幅射面积10cm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绝对最大波束不均匀性系数，不大于 8.0。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波束类型:准直型。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3、治疗探头有支托装置，移动性好;拔插式安装，用户可自行更换探头。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4、提供治疗探头一次性保护模。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5、声波工作频率:1.7MH，误差为士8.5%。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6、有效声强:不大于 3.2W/cm。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7、最大额定输出功率:3.5W误差为士20%。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8、波形:脉冲式发射。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 、治疗组件及软件可升级，且免费升级。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、主机操作摸式:可旋转式触摸屏;屏幕不小于 12 英寸。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11、多种治疗能量可供选择。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 、可显示治疗时间;治疗探头使用时间&gt;8000 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男性功能康复治疗仪（PE治疗）</w:t>
            </w:r>
          </w:p>
        </w:tc>
        <w:tc>
          <w:tcPr>
            <w:tcW w:w="519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早泄脱敏训练、自动精液采集、射精持续时间记录技术要求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阴茎勃起周径测量范围: 7.9cm~12.6cm; 范围0.5cm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取精器内腔直径:≥中40mm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温度测试范围:30C~40C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4、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最大抽动频率:100 次/min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5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最大空载脉冲输出峰值:&lt;500V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环压压力范围:020KPa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7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握压压力范围:0~12KPa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二、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电脉冲治疗技术要求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脉冲输出(负载阻抗为 500Q502，2W 无感电阻)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输出脉冲峰值:空载时，输出脉冲的电压峰值不大于 500V。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 xml:space="preserve">3 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脉冲幅度(强度)输出脉冲幅度分 130 档调节，每档步长小于 1V，最小输出不大于最大输出的 2%;最大输出有效值不大于 20V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 xml:space="preserve">4 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脉冲宽度:电极输出强度显示小于等于 39 时，脉冲宽度为 1.5ms;电极输出强度显示大于 39 时，脉冲宽度为 1.2ms;脉冲宽度误差不大于士20%。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 xml:space="preserve">5 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脉冲频率: 1Hz，脉冲频率误差: 10%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 xml:space="preserve">6 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单个最大输出脉冲申量:大于 7uC。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三、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夜间阴茎勃起记录技术指标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 xml:space="preserve">阴茎勃起次数:范围:0~9 单位:次 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阴茎勃起时间:范围:0~12单位: min,hour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阴茎勃起长度:范围:0~14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单位:cm4 阴茎勃起周径: 范围:0~13.6 单位:cm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5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阴茎勃起血容量:范围:0~200 单位: ml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数据记录时长:1个夜间(最大可支持 12 小时测量)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7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数据存储方式由夜间阴茎勃起测定记录盒单机存储，输出时由工作站电脑主机通讯调用;8 数据通讯到电脑主机后可实现: 记录、显示并打印长度周径、血容量及时间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四、其他技术指标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1、一体式台车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2、全电脑自动化控制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3、高清晰度液晶显示器:可显示诊断和治疗的多种详细参数。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4、专用操作软件:医生控制电脑就可以实现所有诊断和治疗功能，获得的数据会自动上传至电脑并生成标准报告单。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5、资料管理功能:可以建立、存储、查询病例档案，可联网。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足底压力步态评估系统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正常人标准步态数据库，接触时间、内外翻及冲量与正常值对比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足底自动分区&gt;11个，足部翻转受力情况分析3.采集足底压力参数为制定矫形鞋垫、支具指导设计。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二、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平衡分析系统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重心投影的移动图像,压强中心 COP 的移动速度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三、功能要求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支持光脚、穿鞋、站立、静态状态下的足底压力数据实时采集和实时显示。提供单足滚动周期的时间参数，提供步态周期的完整时间参数、对压力中心轨迹移动动态分析。可显示足弓指数，并提供正常足弓值范围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已获得由CFDA颁发的二类医疗器械注册证。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四、技术要求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有效采集区域长度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120cm,有效采集区域宽度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60cm，整体长度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140cm，整体宽度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100cm。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传感器数量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13000 个，传感器密度: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4 个/cm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采集频率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400fps，量程≥200N/cm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vertAlign w:val="superscript"/>
                <w:lang w:val="en-US" w:eastAsia="zh-CN"/>
              </w:rPr>
              <w:t>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力测量精准度误差率≤最大量程的士2%。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结石红外光谱自动分析仪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1、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100%T线倾斜范围: 波数范围 800-500cm-1,100%线倾斜范围 98.0102.0%t; 波数范围 2200-1900cm-1,100%线倾斜范围 99.5-100.5%t; 波数范围 3200-2800 cm-1,100%线倾斜范围 99.5-100.5% t;波数范围4400-4000cm-1,100%T线倾斜范围 98.5-101.5%t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检测器: 配高灵敏度检测器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3、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仪器自检:仪器定期自诊断或联网诊断，并自动生成自检评估报告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4、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全自动化:可全自动分析结石成分,自动提供检测预防报告，自动进行仪器自诊断或联网诊断，并出具自检报告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5、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提供检测报告单及自检报告: 仪器自动生成自检报告，并根据结石成分自动给出相应的规范化防治方案的检验报告单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6、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图谱解析: 完全自动解析红外谱图，自动得出具体精准成分，无需人工对比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7、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可分析晶体成分、非晶体成分、无机化合物、有机化合物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生发治疗仪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能用于治疗多种疾病引起的头发稀疏、脱发，斑秃，对脂溢性脱发、神经性脱发、病理性脱发、药物性脱发、精神神经性脱发、肥胖性脱发、内分泌性脱发、物理性脱发、各种皮肤病引起的脱发、营养性脱发、季节性脱发等。</w:t>
            </w:r>
          </w:p>
          <w:p>
            <w:pPr>
              <w:jc w:val="left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设备操作简便，激光功率稳定，有多种治疗模式。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毛发镜（毛发图像处理系统）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设备能进行毛发分级自动识别功能；具有终毛、中毛、毳毛分别用不同颜色标识和显示功能；能自动计算毛发总量、密度，终毛、中毛、毳毛数量和百分比；自动计算视野内的毛发平均直径；为患者脱发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原因的诊断以及治疗效果评估提供强有力的证据。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DR（1）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满足专业的尘肺检查功能。图像质量清晰，大于等于1500万像素，自动识别患者体厚并智能选择合适的曝光模式，双能减影成像，设备智能化程度高，操作便捷、响应迅速。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</w:rPr>
              <w:t>9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DR（2）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高压发生器功率≥80kw、120KV、≥800mA,球管热容量≥400KHU，平板探测器：无线、双板、非晶硅碘化铯、视野尺寸17*17英寸，自动跟踪技术，智能导航一键自动拼接，匹配独立工作站，能与医院现有PACS系统匹配。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X射线骨密度分析仪</w:t>
            </w:r>
          </w:p>
        </w:tc>
        <w:tc>
          <w:tcPr>
            <w:tcW w:w="5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采用双能X射线吸收测量法，直接数字化对人体骨矿物质密度（BMD）的测量；精准误差性：≤1%，操作简单明了，效率高并可连续测试。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</w:rPr>
              <w:t>11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1、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可满足新生儿,小儿,儿童,成人不同年龄层次及不同手术种类的麻醉要求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2、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停电时后备电池工作时间不小于 45 分钟，有待机模式,需要时可快速投入运行。在断电断氧等特殊条件下，机器也可抽取室内空气进行工作，电池容量不小于 3.5AH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3、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呼吸机气动电控或电动电控呼吸机，成人、小儿应用不需更换风箱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4、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呼吸模式包括容量控制通气(IPPV CMV)和压力限制模式(PLV)必须具备压力控制通气(PCV)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及同步间歇指令通气模式（SIMV）。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</w:rPr>
              <w:t>12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便携式麻醉机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1、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可满足新生儿,小儿,儿童,成人不同年龄层次及不同手术种类的麻醉要求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2、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停电时后备电池工作时间不小于 45 分钟，有待机模式,需要时可快速投入运行。在断电断氧等特殊条件下，机器也可抽取室内空气进行工作，电池容量不小于 3.5AH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3、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呼吸机气动电控或电动电控呼吸机，成人、小儿应用不需更换风箱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default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4、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</w:rPr>
              <w:t>呼吸模式包括容量控制通气(IPPV CMV)和压力限制模式(PLV)必须具备压力控制通气(PCV)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及同步间歇指令通气模式（SIMV）。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</w:rPr>
              <w:t>13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脊柱通道系统</w:t>
            </w:r>
          </w:p>
        </w:tc>
        <w:tc>
          <w:tcPr>
            <w:tcW w:w="5195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通道可扩张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可反复消毒使用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X光下不显影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  <w:t>可进行脊柱前路、后路手术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PRP</w:t>
            </w:r>
          </w:p>
        </w:tc>
        <w:tc>
          <w:tcPr>
            <w:tcW w:w="5195" w:type="dxa"/>
            <w:vAlign w:val="center"/>
          </w:tcPr>
          <w:p>
            <w:pPr>
              <w:pStyle w:val="18"/>
              <w:numPr>
                <w:ilvl w:val="0"/>
                <w:numId w:val="0"/>
              </w:numPr>
              <w:ind w:leftChars="0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用于制备PRP制品制备专用恒温型离心机，主要运用于PRP相关制品的制备领域。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62615"/>
    <w:multiLevelType w:val="singleLevel"/>
    <w:tmpl w:val="8D1626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EE23DC"/>
    <w:multiLevelType w:val="singleLevel"/>
    <w:tmpl w:val="1AEE23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B683841"/>
    <w:multiLevelType w:val="singleLevel"/>
    <w:tmpl w:val="4B6838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VkODcyYjllY2U5NTY1ZTkzNDEzYzU2YTlkZjMyNzkifQ=="/>
  </w:docVars>
  <w:rsids>
    <w:rsidRoot w:val="00881963"/>
    <w:rsid w:val="00000626"/>
    <w:rsid w:val="00000889"/>
    <w:rsid w:val="000523D7"/>
    <w:rsid w:val="00064C93"/>
    <w:rsid w:val="000734D9"/>
    <w:rsid w:val="00075301"/>
    <w:rsid w:val="000770BD"/>
    <w:rsid w:val="000931A6"/>
    <w:rsid w:val="000F4588"/>
    <w:rsid w:val="00104032"/>
    <w:rsid w:val="00106B64"/>
    <w:rsid w:val="00140368"/>
    <w:rsid w:val="001B15DF"/>
    <w:rsid w:val="001B4290"/>
    <w:rsid w:val="001C06DE"/>
    <w:rsid w:val="001D572E"/>
    <w:rsid w:val="00200BE1"/>
    <w:rsid w:val="00201F5A"/>
    <w:rsid w:val="002068B9"/>
    <w:rsid w:val="002521E8"/>
    <w:rsid w:val="002612F2"/>
    <w:rsid w:val="00276976"/>
    <w:rsid w:val="00280780"/>
    <w:rsid w:val="002B1412"/>
    <w:rsid w:val="002C4B8D"/>
    <w:rsid w:val="002D40AA"/>
    <w:rsid w:val="0030686C"/>
    <w:rsid w:val="00314723"/>
    <w:rsid w:val="00320116"/>
    <w:rsid w:val="00320861"/>
    <w:rsid w:val="00322E52"/>
    <w:rsid w:val="00324E04"/>
    <w:rsid w:val="00345878"/>
    <w:rsid w:val="003B2FA4"/>
    <w:rsid w:val="003B4944"/>
    <w:rsid w:val="003B6C10"/>
    <w:rsid w:val="003C200E"/>
    <w:rsid w:val="003E5972"/>
    <w:rsid w:val="0041229B"/>
    <w:rsid w:val="004271A1"/>
    <w:rsid w:val="00442746"/>
    <w:rsid w:val="004929AB"/>
    <w:rsid w:val="00494E9C"/>
    <w:rsid w:val="004B06B2"/>
    <w:rsid w:val="004B74D3"/>
    <w:rsid w:val="004C1A7F"/>
    <w:rsid w:val="00500B0E"/>
    <w:rsid w:val="00533E9F"/>
    <w:rsid w:val="0054581E"/>
    <w:rsid w:val="00560519"/>
    <w:rsid w:val="005A2CFC"/>
    <w:rsid w:val="005C57BA"/>
    <w:rsid w:val="005E0118"/>
    <w:rsid w:val="005E0442"/>
    <w:rsid w:val="00606C42"/>
    <w:rsid w:val="00610A6A"/>
    <w:rsid w:val="006273AB"/>
    <w:rsid w:val="00647A37"/>
    <w:rsid w:val="00662449"/>
    <w:rsid w:val="0067024C"/>
    <w:rsid w:val="006E269D"/>
    <w:rsid w:val="006F39E0"/>
    <w:rsid w:val="00713626"/>
    <w:rsid w:val="00731FB9"/>
    <w:rsid w:val="00760306"/>
    <w:rsid w:val="007A11FF"/>
    <w:rsid w:val="007C1118"/>
    <w:rsid w:val="007E27A7"/>
    <w:rsid w:val="00800A20"/>
    <w:rsid w:val="008101BC"/>
    <w:rsid w:val="0081279E"/>
    <w:rsid w:val="0081333A"/>
    <w:rsid w:val="00832933"/>
    <w:rsid w:val="00850A09"/>
    <w:rsid w:val="008529D5"/>
    <w:rsid w:val="00881963"/>
    <w:rsid w:val="008C6FCC"/>
    <w:rsid w:val="009007AD"/>
    <w:rsid w:val="00903E76"/>
    <w:rsid w:val="00927B8D"/>
    <w:rsid w:val="00942A13"/>
    <w:rsid w:val="00954A42"/>
    <w:rsid w:val="009A3400"/>
    <w:rsid w:val="009A7314"/>
    <w:rsid w:val="009E2C35"/>
    <w:rsid w:val="00A02E4B"/>
    <w:rsid w:val="00A0501F"/>
    <w:rsid w:val="00A200F1"/>
    <w:rsid w:val="00A43102"/>
    <w:rsid w:val="00A43150"/>
    <w:rsid w:val="00A55360"/>
    <w:rsid w:val="00A75925"/>
    <w:rsid w:val="00A77790"/>
    <w:rsid w:val="00AF55F1"/>
    <w:rsid w:val="00AF7F81"/>
    <w:rsid w:val="00B10396"/>
    <w:rsid w:val="00B5624D"/>
    <w:rsid w:val="00BA7F8B"/>
    <w:rsid w:val="00BF2E56"/>
    <w:rsid w:val="00C165FB"/>
    <w:rsid w:val="00C277F6"/>
    <w:rsid w:val="00C3450E"/>
    <w:rsid w:val="00C41B5F"/>
    <w:rsid w:val="00C41F6C"/>
    <w:rsid w:val="00C42D8B"/>
    <w:rsid w:val="00C61B1A"/>
    <w:rsid w:val="00C8408D"/>
    <w:rsid w:val="00CC4463"/>
    <w:rsid w:val="00CE702B"/>
    <w:rsid w:val="00D00283"/>
    <w:rsid w:val="00D1339B"/>
    <w:rsid w:val="00D23AAA"/>
    <w:rsid w:val="00D44D6F"/>
    <w:rsid w:val="00D532B9"/>
    <w:rsid w:val="00D7734E"/>
    <w:rsid w:val="00D93E97"/>
    <w:rsid w:val="00DA1525"/>
    <w:rsid w:val="00DD35B5"/>
    <w:rsid w:val="00DE62ED"/>
    <w:rsid w:val="00E1024D"/>
    <w:rsid w:val="00E1628D"/>
    <w:rsid w:val="00E23BCD"/>
    <w:rsid w:val="00E83FB0"/>
    <w:rsid w:val="00EB75A1"/>
    <w:rsid w:val="00EF4BA7"/>
    <w:rsid w:val="00F330AB"/>
    <w:rsid w:val="00F45F54"/>
    <w:rsid w:val="00F6727B"/>
    <w:rsid w:val="00F73346"/>
    <w:rsid w:val="00F80606"/>
    <w:rsid w:val="00F83EC3"/>
    <w:rsid w:val="00F926C7"/>
    <w:rsid w:val="00F935A1"/>
    <w:rsid w:val="00FA27A5"/>
    <w:rsid w:val="00FA6A37"/>
    <w:rsid w:val="00FB0125"/>
    <w:rsid w:val="00FB6360"/>
    <w:rsid w:val="00FC5BE3"/>
    <w:rsid w:val="00FD3366"/>
    <w:rsid w:val="0525714B"/>
    <w:rsid w:val="091E4484"/>
    <w:rsid w:val="0CAF6CC1"/>
    <w:rsid w:val="26C652A8"/>
    <w:rsid w:val="2E784A1C"/>
    <w:rsid w:val="455D31B6"/>
    <w:rsid w:val="558A33FA"/>
    <w:rsid w:val="5B97027C"/>
    <w:rsid w:val="6A594D3E"/>
    <w:rsid w:val="6E2D287B"/>
    <w:rsid w:val="783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4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styleId="18">
    <w:name w:val="List Paragraph"/>
    <w:basedOn w:val="1"/>
    <w:link w:val="19"/>
    <w:qFormat/>
    <w:uiPriority w:val="99"/>
    <w:pPr>
      <w:ind w:firstLine="420" w:firstLineChars="200"/>
    </w:pPr>
  </w:style>
  <w:style w:type="character" w:customStyle="1" w:styleId="19">
    <w:name w:val="列出段落 Char"/>
    <w:link w:val="18"/>
    <w:qFormat/>
    <w:uiPriority w:val="34"/>
  </w:style>
  <w:style w:type="paragraph" w:customStyle="1" w:styleId="20">
    <w:name w:val="fonts01-jianjv"/>
    <w:basedOn w:val="1"/>
    <w:qFormat/>
    <w:uiPriority w:val="0"/>
    <w:pPr>
      <w:spacing w:before="100" w:beforeAutospacing="1" w:after="100" w:afterAutospacing="1" w:line="240" w:lineRule="atLeast"/>
      <w:jc w:val="left"/>
    </w:pPr>
    <w:rPr>
      <w:rFonts w:ascii="ˎ̥" w:hAnsi="ˎ̥" w:eastAsia="宋体" w:cs="Times New Roman"/>
      <w:sz w:val="18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22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1827</Words>
  <Characters>1986</Characters>
  <Lines>15</Lines>
  <Paragraphs>4</Paragraphs>
  <TotalTime>0</TotalTime>
  <ScaleCrop>false</ScaleCrop>
  <LinksUpToDate>false</LinksUpToDate>
  <CharactersWithSpaces>2000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甯仁义</cp:lastModifiedBy>
  <dcterms:modified xsi:type="dcterms:W3CDTF">2023-08-14T00:03:35Z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618DB68E299943EB8BF97D55A3EC7EF4</vt:lpwstr>
  </property>
</Properties>
</file>