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8"/>
          <w:szCs w:val="28"/>
          <w:lang w:val="en-US" w:eastAsia="zh-CN"/>
        </w:rPr>
      </w:pPr>
      <w:r>
        <w:rPr>
          <w:rFonts w:hint="eastAsia"/>
          <w:sz w:val="32"/>
          <w:szCs w:val="32"/>
          <w:lang w:eastAsia="zh-CN"/>
        </w:rPr>
        <w:t>陪伴床椅维修</w:t>
      </w:r>
      <w:r>
        <w:rPr>
          <w:rFonts w:hint="eastAsia"/>
          <w:sz w:val="32"/>
          <w:szCs w:val="32"/>
          <w:lang w:val="en-US" w:eastAsia="zh-CN"/>
        </w:rPr>
        <w:t>项目采购方案</w:t>
      </w:r>
    </w:p>
    <w:p>
      <w:pPr>
        <w:rPr>
          <w:rFonts w:hint="eastAsia"/>
          <w:sz w:val="28"/>
          <w:szCs w:val="28"/>
          <w:lang w:val="en-US" w:eastAsia="zh-CN"/>
        </w:rPr>
      </w:pPr>
      <w:r>
        <w:rPr>
          <w:rFonts w:hint="eastAsia"/>
          <w:sz w:val="28"/>
          <w:szCs w:val="28"/>
          <w:lang w:val="en-US" w:eastAsia="zh-CN"/>
        </w:rPr>
        <w:t xml:space="preserve">    根据我院需求对现所使用的陪伴床椅进行维修，具体方案如下：</w:t>
      </w:r>
    </w:p>
    <w:p>
      <w:pPr>
        <w:numPr>
          <w:ilvl w:val="0"/>
          <w:numId w:val="1"/>
        </w:numPr>
        <w:rPr>
          <w:rFonts w:hint="eastAsia"/>
          <w:sz w:val="28"/>
          <w:szCs w:val="28"/>
          <w:lang w:val="en-US" w:eastAsia="zh-CN"/>
        </w:rPr>
      </w:pPr>
      <w:r>
        <w:rPr>
          <w:rFonts w:hint="eastAsia"/>
          <w:sz w:val="28"/>
          <w:szCs w:val="28"/>
          <w:lang w:val="en-US" w:eastAsia="zh-CN"/>
        </w:rPr>
        <w:t>材质规格及限价预算</w:t>
      </w:r>
    </w:p>
    <w:tbl>
      <w:tblPr>
        <w:tblStyle w:val="4"/>
        <w:tblW w:w="9098" w:type="dxa"/>
        <w:tblInd w:w="-4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0"/>
        <w:gridCol w:w="1183"/>
        <w:gridCol w:w="3315"/>
        <w:gridCol w:w="569"/>
        <w:gridCol w:w="750"/>
        <w:gridCol w:w="961"/>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yellow"/>
                <w:u w:val="none"/>
              </w:rPr>
            </w:pPr>
            <w:r>
              <w:rPr>
                <w:rFonts w:hint="eastAsia" w:ascii="宋体" w:hAnsi="宋体" w:eastAsia="宋体" w:cs="宋体"/>
                <w:i w:val="0"/>
                <w:iCs w:val="0"/>
                <w:color w:val="000000"/>
                <w:kern w:val="0"/>
                <w:sz w:val="24"/>
                <w:szCs w:val="24"/>
                <w:highlight w:val="none"/>
                <w:u w:val="none"/>
                <w:lang w:val="en-US" w:eastAsia="zh-CN" w:bidi="ar"/>
              </w:rPr>
              <w:t>单价控制价</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85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上部分海绵</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规格：530*510*30mm，采用高密度、高回弹原生棉。</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57</w:t>
            </w:r>
          </w:p>
        </w:tc>
        <w:tc>
          <w:tcPr>
            <w:tcW w:w="147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含头枕部分，该价格为单一更换对应部件预算。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85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上部分抗菌溴化底板</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规格：500*480*12mm。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采用12mm厚抗菌溴化板,其特点是抗菌、耐磨、防污、表面硬度高，须提供第三方检测机构出具的具有CMA或CAL或CNAS标识且带二维码的《抗菌溴化板》检测报告加盖投标单位的鲜章复印件。二维码需清晰可查真伪。</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w:t>
            </w:r>
          </w:p>
        </w:tc>
        <w:tc>
          <w:tcPr>
            <w:tcW w:w="1470"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85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上部分面料</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规格：600*600mm，采用优质环保皮革面料，无异味、无污渍。与原有颜色一样。</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w:t>
            </w:r>
          </w:p>
        </w:tc>
        <w:tc>
          <w:tcPr>
            <w:tcW w:w="1470"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85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中部分海绵</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规格600*510*30mm，采用高密度、高回弹原生棉。</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44</w:t>
            </w:r>
          </w:p>
        </w:tc>
        <w:tc>
          <w:tcPr>
            <w:tcW w:w="1470" w:type="dxa"/>
            <w:vMerge w:val="restart"/>
            <w:tcBorders>
              <w:top w:val="single" w:color="000000" w:sz="4" w:space="0"/>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该价格为单一更换对应部件预算。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85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中部分抗菌溴化底板</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规格：600*480*12mm。</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采用12mm厚抗菌溴化板,其特点是抗菌、耐磨、防污、表面硬度高，须提供第三方检测机构出具的具有CMA或CAL或CNAS标识且带二维码的《抗菌溴化板》检测报告加盖投标单位的鲜章复印件。二维码需清晰可查真伪。</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38</w:t>
            </w:r>
          </w:p>
        </w:tc>
        <w:tc>
          <w:tcPr>
            <w:tcW w:w="1470"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85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中部分面料</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规格：700*600mm，采用优质环保皮革面料，无异味、无污渍。与原有颜色一样。</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44</w:t>
            </w:r>
          </w:p>
        </w:tc>
        <w:tc>
          <w:tcPr>
            <w:tcW w:w="1470"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85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下部分海绵</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规格780*510*30mm，采用高密度、高回弹原生棉。</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w:t>
            </w:r>
          </w:p>
        </w:tc>
        <w:tc>
          <w:tcPr>
            <w:tcW w:w="147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该价格为单一更换对应部件预算。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85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下部分抗菌溴化底板</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4"/>
              </w:numPr>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规格：780*480*12mm。</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★采用12mm厚抗菌溴化板,其特点是抗菌、耐磨、防污、表面硬度高，须提供第三方检测机构出具的具有CMA或CAL或CNAS标识且带二维码的《抗菌溴化板》检测报告加盖投标单位的鲜章复印件，二维码需清晰可查真伪。</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48</w:t>
            </w:r>
          </w:p>
        </w:tc>
        <w:tc>
          <w:tcPr>
            <w:tcW w:w="1470"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85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下部分面料</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规格：900*600mm，采用优质环保皮革面料，无异味、无污渍。与原有颜色一样。</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w:t>
            </w:r>
          </w:p>
        </w:tc>
        <w:tc>
          <w:tcPr>
            <w:tcW w:w="1470"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85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上部分整套（包含底板、海绵、皮革面料））</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规格：600*600mm，面料采用优质环保皮革面料，无异味、无污渍；</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★底板采用12mm厚抗菌溴化板。</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海绵采用高密度、高回弹原生棉。</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92</w:t>
            </w:r>
          </w:p>
        </w:tc>
        <w:tc>
          <w:tcPr>
            <w:tcW w:w="147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上部分含头枕，该价格为整套更换预算。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85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中部分整套（包含底板、海绵、皮革面料））</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6"/>
              </w:numPr>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规格：700*600mm，面料采用优质环保皮革面料，无异味、无污渍；</w:t>
            </w:r>
          </w:p>
          <w:p>
            <w:pPr>
              <w:keepNext w:val="0"/>
              <w:keepLines w:val="0"/>
              <w:widowControl/>
              <w:numPr>
                <w:ilvl w:val="0"/>
                <w:numId w:val="6"/>
              </w:numPr>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★底板采用12mm厚抗菌溴化板。</w:t>
            </w:r>
          </w:p>
          <w:p>
            <w:pPr>
              <w:keepNext w:val="0"/>
              <w:keepLines w:val="0"/>
              <w:widowControl/>
              <w:numPr>
                <w:ilvl w:val="0"/>
                <w:numId w:val="6"/>
              </w:numPr>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海绵采用高密度、高回弹原生棉。</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84</w:t>
            </w:r>
          </w:p>
        </w:tc>
        <w:tc>
          <w:tcPr>
            <w:tcW w:w="1470"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85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下部分整套（包含底板、海绵、皮革面料））</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7"/>
              </w:numPr>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规格：900*600mm，面料采用优质环保皮革面料，无异味、无污渍；</w:t>
            </w:r>
          </w:p>
          <w:p>
            <w:pPr>
              <w:keepNext w:val="0"/>
              <w:keepLines w:val="0"/>
              <w:widowControl/>
              <w:numPr>
                <w:ilvl w:val="0"/>
                <w:numId w:val="7"/>
              </w:numPr>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★底板采用12mm厚抗菌溴化板。</w:t>
            </w:r>
          </w:p>
          <w:p>
            <w:pPr>
              <w:keepNext w:val="0"/>
              <w:keepLines w:val="0"/>
              <w:widowControl/>
              <w:numPr>
                <w:ilvl w:val="0"/>
                <w:numId w:val="7"/>
              </w:numPr>
              <w:suppressLineNumbers w:val="0"/>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海绵采用高密度、高回弹原生棉。</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105</w:t>
            </w:r>
          </w:p>
        </w:tc>
        <w:tc>
          <w:tcPr>
            <w:tcW w:w="1470"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3寸轮子</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★规格：3寸；静音万向轮，带刹车。必须与原有样式质量一样。</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1.5寸轮子</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★规格：1.5寸；静音轮。必须与原有样式质量一样。</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钢架</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8"/>
              </w:numPr>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扶手脚框架选用直径38mm碳钢圆管制作，厚度≥1.2mm；</w:t>
            </w:r>
          </w:p>
          <w:p>
            <w:pPr>
              <w:keepNext w:val="0"/>
              <w:keepLines w:val="0"/>
              <w:widowControl/>
              <w:numPr>
                <w:ilvl w:val="0"/>
                <w:numId w:val="8"/>
              </w:numPr>
              <w:suppressLineNumbers w:val="0"/>
              <w:spacing w:line="240" w:lineRule="auto"/>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坐背框架选用直径25mm圆管制作，厚度≥1.0mm；</w:t>
            </w:r>
          </w:p>
          <w:p>
            <w:pPr>
              <w:keepNext w:val="0"/>
              <w:keepLines w:val="0"/>
              <w:widowControl/>
              <w:numPr>
                <w:ilvl w:val="0"/>
                <w:numId w:val="8"/>
              </w:numPr>
              <w:suppressLineNumbers w:val="0"/>
              <w:spacing w:line="240" w:lineRule="auto"/>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表面静电喷塑；颜色：白色与原有颜色一致。</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numPr>
          <w:ilvl w:val="0"/>
          <w:numId w:val="0"/>
        </w:numPr>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注：报价时需包含安装、运输、搬运等一切因维修产生的费用。</w:t>
      </w:r>
    </w:p>
    <w:p>
      <w:pPr>
        <w:numPr>
          <w:ilvl w:val="0"/>
          <w:numId w:val="1"/>
        </w:numPr>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★维修要求</w:t>
      </w:r>
    </w:p>
    <w:p>
      <w:pPr>
        <w:numPr>
          <w:ilvl w:val="0"/>
          <w:numId w:val="0"/>
        </w:numPr>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lang w:val="en-US" w:eastAsia="zh-CN"/>
        </w:rPr>
        <w:t>根据现场使用情况进行维修。</w:t>
      </w:r>
    </w:p>
    <w:p>
      <w:pPr>
        <w:numPr>
          <w:ilvl w:val="0"/>
          <w:numId w:val="0"/>
        </w:numPr>
        <w:ind w:leftChars="0" w:firstLine="480"/>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为保证医院正常使用，尽量减少对患者的干扰，</w:t>
      </w:r>
      <w:r>
        <w:rPr>
          <w:rFonts w:hint="eastAsia" w:ascii="宋体" w:hAnsi="宋体" w:eastAsia="宋体" w:cs="宋体"/>
          <w:color w:val="auto"/>
          <w:sz w:val="24"/>
          <w:szCs w:val="24"/>
          <w:lang w:val="en-US" w:eastAsia="zh-CN"/>
        </w:rPr>
        <w:t>根据实际使用情况由院方决定实际维修数量。</w:t>
      </w:r>
    </w:p>
    <w:p>
      <w:pPr>
        <w:pStyle w:val="2"/>
        <w:rPr>
          <w:rFonts w:hint="default"/>
          <w:lang w:val="en-US" w:eastAsia="zh-CN"/>
        </w:rPr>
      </w:pPr>
      <w:r>
        <w:rPr>
          <w:rFonts w:hint="eastAsia" w:hAnsi="宋体" w:eastAsia="宋体" w:cs="宋体"/>
          <w:color w:val="auto"/>
          <w:sz w:val="24"/>
          <w:szCs w:val="24"/>
          <w:lang w:val="en-US" w:eastAsia="zh-CN"/>
        </w:rPr>
        <w:t xml:space="preserve">    2、费用据实结算，潜在供应商可自行踏勘现场。</w:t>
      </w:r>
    </w:p>
    <w:p>
      <w:pPr>
        <w:numPr>
          <w:ilvl w:val="0"/>
          <w:numId w:val="0"/>
        </w:numPr>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3、面料：维修后新的皮革面料颜色需与原旧的皮革面料颜色一致。</w:t>
      </w:r>
    </w:p>
    <w:p>
      <w:pPr>
        <w:numPr>
          <w:ilvl w:val="0"/>
          <w:numId w:val="0"/>
        </w:numPr>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4、海绵：维修或更换的海绵厚度需同原旧海绵的厚度一致。</w:t>
      </w:r>
    </w:p>
    <w:p>
      <w:pPr>
        <w:numPr>
          <w:ilvl w:val="0"/>
          <w:numId w:val="0"/>
        </w:numPr>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kern w:val="2"/>
          <w:sz w:val="24"/>
          <w:szCs w:val="24"/>
          <w:lang w:val="en-US" w:eastAsia="zh-CN" w:bidi="ar-SA"/>
        </w:rPr>
        <w:t>5、</w:t>
      </w:r>
      <w:r>
        <w:rPr>
          <w:rFonts w:hint="eastAsia" w:ascii="宋体" w:hAnsi="宋体" w:eastAsia="宋体" w:cs="宋体"/>
          <w:color w:val="auto"/>
          <w:sz w:val="24"/>
          <w:szCs w:val="24"/>
          <w:lang w:val="en-US" w:eastAsia="zh-CN"/>
        </w:rPr>
        <w:t>钢制件：有掉漆、生锈及断裂的钢制件均进行维修或更换。</w:t>
      </w:r>
    </w:p>
    <w:p>
      <w:pPr>
        <w:numPr>
          <w:ilvl w:val="0"/>
          <w:numId w:val="0"/>
        </w:numPr>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kern w:val="2"/>
          <w:sz w:val="24"/>
          <w:szCs w:val="24"/>
          <w:lang w:val="en-US" w:eastAsia="zh-CN" w:bidi="ar-SA"/>
        </w:rPr>
        <w:t>6、</w:t>
      </w:r>
      <w:r>
        <w:rPr>
          <w:rFonts w:hint="eastAsia" w:ascii="宋体" w:hAnsi="宋体" w:eastAsia="宋体" w:cs="宋体"/>
          <w:color w:val="auto"/>
          <w:sz w:val="24"/>
          <w:szCs w:val="24"/>
          <w:lang w:val="en-US" w:eastAsia="zh-CN"/>
        </w:rPr>
        <w:t>底板：维修包括不限于有裂纹、断裂、变形的均进行维修或更换。</w:t>
      </w:r>
    </w:p>
    <w:p>
      <w:pPr>
        <w:numPr>
          <w:ilvl w:val="0"/>
          <w:numId w:val="0"/>
        </w:numPr>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kern w:val="2"/>
          <w:sz w:val="24"/>
          <w:szCs w:val="24"/>
          <w:lang w:val="en-US" w:eastAsia="zh-CN" w:bidi="ar-SA"/>
        </w:rPr>
        <w:t>7、</w:t>
      </w:r>
      <w:r>
        <w:rPr>
          <w:rFonts w:hint="eastAsia" w:ascii="宋体" w:hAnsi="宋体" w:eastAsia="宋体" w:cs="宋体"/>
          <w:color w:val="auto"/>
          <w:sz w:val="24"/>
          <w:szCs w:val="24"/>
          <w:lang w:val="en-US" w:eastAsia="zh-CN"/>
        </w:rPr>
        <w:t>轮子：维修包括但不限于有变形、断裂、不转动及丢失等情况的均进行维修或更换</w:t>
      </w:r>
      <w:bookmarkStart w:id="0" w:name="_GoBack"/>
      <w:bookmarkEnd w:id="0"/>
    </w:p>
    <w:p>
      <w:pPr>
        <w:numPr>
          <w:ilvl w:val="0"/>
          <w:numId w:val="0"/>
        </w:numPr>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kern w:val="2"/>
          <w:sz w:val="24"/>
          <w:szCs w:val="24"/>
          <w:lang w:val="en-US" w:eastAsia="zh-CN" w:bidi="ar-SA"/>
        </w:rPr>
        <w:t>8、</w:t>
      </w:r>
      <w:r>
        <w:rPr>
          <w:rFonts w:hint="eastAsia" w:ascii="宋体" w:hAnsi="宋体" w:eastAsia="宋体" w:cs="宋体"/>
          <w:color w:val="auto"/>
          <w:sz w:val="24"/>
          <w:szCs w:val="24"/>
          <w:lang w:val="en-US" w:eastAsia="zh-CN"/>
        </w:rPr>
        <w:t>头枕：维修包括但不限于有底板损坏、海绵坍塌、布料损坏的均进行维修或更换。</w:t>
      </w:r>
    </w:p>
    <w:p>
      <w:pPr>
        <w:numPr>
          <w:ilvl w:val="0"/>
          <w:numId w:val="1"/>
        </w:numPr>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（一）质保期为</w:t>
      </w:r>
      <w:r>
        <w:rPr>
          <w:rFonts w:hint="eastAsia" w:ascii="宋体" w:hAnsi="宋体" w:cs="宋体"/>
          <w:kern w:val="0"/>
          <w:sz w:val="24"/>
          <w:szCs w:val="24"/>
        </w:rPr>
        <w:t>≥</w:t>
      </w:r>
      <w:r>
        <w:rPr>
          <w:rFonts w:hint="eastAsia" w:ascii="宋体" w:hAnsi="宋体" w:cs="宋体"/>
          <w:sz w:val="24"/>
          <w:szCs w:val="24"/>
        </w:rPr>
        <w:t>1年，质保期内出现故障2小时内上门维修；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（二）投标人按要求提供</w:t>
      </w:r>
      <w:r>
        <w:rPr>
          <w:rFonts w:hint="eastAsia" w:ascii="宋体" w:hAnsi="宋体" w:cs="宋体"/>
          <w:sz w:val="24"/>
          <w:szCs w:val="24"/>
          <w:lang w:eastAsia="zh-CN"/>
        </w:rPr>
        <w:t>：</w:t>
      </w:r>
      <w:r>
        <w:rPr>
          <w:rFonts w:hint="eastAsia" w:ascii="宋体" w:hAnsi="宋体" w:eastAsia="宋体" w:cs="宋体"/>
          <w:i w:val="0"/>
          <w:iCs w:val="0"/>
          <w:color w:val="000000"/>
          <w:kern w:val="0"/>
          <w:sz w:val="24"/>
          <w:szCs w:val="24"/>
          <w:u w:val="none"/>
          <w:lang w:val="en-US" w:eastAsia="zh-CN" w:bidi="ar"/>
        </w:rPr>
        <w:t>上部分整套小样</w:t>
      </w:r>
      <w:r>
        <w:rPr>
          <w:rFonts w:hint="eastAsia" w:ascii="宋体" w:hAnsi="宋体" w:cs="宋体"/>
          <w:sz w:val="24"/>
          <w:szCs w:val="24"/>
        </w:rPr>
        <w:t>1</w:t>
      </w:r>
      <w:r>
        <w:rPr>
          <w:rFonts w:hint="eastAsia" w:ascii="宋体" w:hAnsi="宋体" w:cs="宋体"/>
          <w:sz w:val="24"/>
          <w:szCs w:val="24"/>
          <w:lang w:val="en-US" w:eastAsia="zh-CN"/>
        </w:rPr>
        <w:t>个</w:t>
      </w:r>
      <w:r>
        <w:rPr>
          <w:rFonts w:hint="eastAsia" w:ascii="宋体" w:hAnsi="宋体" w:cs="宋体"/>
          <w:sz w:val="24"/>
          <w:szCs w:val="24"/>
        </w:rPr>
        <w:t>、</w:t>
      </w:r>
      <w:r>
        <w:rPr>
          <w:rFonts w:hint="eastAsia" w:ascii="宋体" w:hAnsi="宋体" w:eastAsia="宋体" w:cs="宋体"/>
          <w:i w:val="0"/>
          <w:iCs w:val="0"/>
          <w:color w:val="000000"/>
          <w:kern w:val="0"/>
          <w:sz w:val="24"/>
          <w:szCs w:val="24"/>
          <w:u w:val="none"/>
          <w:lang w:val="en-US" w:eastAsia="zh-CN" w:bidi="ar"/>
        </w:rPr>
        <w:t>中部分整套</w:t>
      </w:r>
      <w:r>
        <w:rPr>
          <w:rFonts w:hint="eastAsia" w:ascii="宋体" w:hAnsi="宋体" w:cs="宋体"/>
          <w:sz w:val="24"/>
          <w:szCs w:val="24"/>
        </w:rPr>
        <w:t>小样1</w:t>
      </w:r>
      <w:r>
        <w:rPr>
          <w:rFonts w:hint="eastAsia" w:ascii="宋体" w:hAnsi="宋体" w:cs="宋体"/>
          <w:sz w:val="24"/>
          <w:szCs w:val="24"/>
          <w:lang w:val="en-US" w:eastAsia="zh-CN"/>
        </w:rPr>
        <w:t>个</w:t>
      </w:r>
      <w:r>
        <w:rPr>
          <w:rFonts w:hint="eastAsia" w:ascii="宋体" w:hAnsi="宋体" w:cs="宋体"/>
          <w:sz w:val="24"/>
          <w:szCs w:val="24"/>
        </w:rPr>
        <w:t>、</w:t>
      </w:r>
      <w:r>
        <w:rPr>
          <w:rFonts w:hint="eastAsia" w:ascii="宋体" w:hAnsi="宋体" w:eastAsia="宋体" w:cs="宋体"/>
          <w:i w:val="0"/>
          <w:iCs w:val="0"/>
          <w:color w:val="000000"/>
          <w:kern w:val="0"/>
          <w:sz w:val="24"/>
          <w:szCs w:val="24"/>
          <w:u w:val="none"/>
          <w:lang w:val="en-US" w:eastAsia="zh-CN" w:bidi="ar"/>
        </w:rPr>
        <w:t>下部分整套</w:t>
      </w:r>
      <w:r>
        <w:rPr>
          <w:rFonts w:hint="eastAsia" w:ascii="宋体" w:hAnsi="宋体" w:cs="宋体"/>
          <w:sz w:val="24"/>
          <w:szCs w:val="24"/>
        </w:rPr>
        <w:t>小样1</w:t>
      </w:r>
      <w:r>
        <w:rPr>
          <w:rFonts w:hint="eastAsia" w:ascii="宋体" w:hAnsi="宋体" w:cs="宋体"/>
          <w:sz w:val="24"/>
          <w:szCs w:val="24"/>
          <w:lang w:val="en-US" w:eastAsia="zh-CN"/>
        </w:rPr>
        <w:t>个</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（三）投标人所有投标产品在招标单位验收时，未达到招标要求的，一律不予验收、付款（包括产品的厚度、材质）；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eastAsiaTheme="minorEastAsia"/>
          <w:sz w:val="24"/>
          <w:szCs w:val="24"/>
          <w:lang w:val="en-US" w:eastAsia="zh-CN"/>
        </w:rPr>
      </w:pPr>
      <w:r>
        <w:rPr>
          <w:rFonts w:hint="eastAsia" w:ascii="宋体" w:hAnsi="宋体" w:cs="宋体"/>
          <w:sz w:val="24"/>
          <w:szCs w:val="24"/>
        </w:rPr>
        <w:t>（四）市场不易购买的配件，在招标单位急需维修时可及时提供（所有配件供应时间不低于10年）。</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（五）标书</w:t>
      </w:r>
      <w:r>
        <w:rPr>
          <w:rFonts w:hint="eastAsia" w:ascii="宋体" w:hAnsi="宋体" w:cs="宋体"/>
          <w:sz w:val="24"/>
          <w:szCs w:val="24"/>
          <w:lang w:val="en-US" w:eastAsia="zh-CN"/>
        </w:rPr>
        <w:t>胶</w:t>
      </w:r>
      <w:r>
        <w:rPr>
          <w:rFonts w:hint="eastAsia" w:ascii="宋体" w:hAnsi="宋体" w:cs="宋体"/>
          <w:sz w:val="24"/>
          <w:szCs w:val="24"/>
        </w:rPr>
        <w:t>装订成册本，一正、一副，共两本。</w:t>
      </w:r>
    </w:p>
    <w:p>
      <w:pPr>
        <w:numPr>
          <w:ilvl w:val="0"/>
          <w:numId w:val="1"/>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评分要求</w:t>
      </w:r>
    </w:p>
    <w:tbl>
      <w:tblPr>
        <w:tblStyle w:val="4"/>
        <w:tblW w:w="52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914"/>
        <w:gridCol w:w="631"/>
        <w:gridCol w:w="447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5" w:type="pct"/>
            <w:vAlign w:val="center"/>
          </w:tcPr>
          <w:p>
            <w:pPr>
              <w:widowControl/>
              <w:snapToGrid w:val="0"/>
              <w:spacing w:line="360" w:lineRule="auto"/>
              <w:jc w:val="center"/>
              <w:rPr>
                <w:rFonts w:ascii="宋体" w:hAnsi="宋体" w:cs="宋体"/>
                <w:bCs/>
                <w:kern w:val="0"/>
                <w:szCs w:val="21"/>
              </w:rPr>
            </w:pPr>
            <w:r>
              <w:rPr>
                <w:rFonts w:hint="eastAsia" w:ascii="宋体" w:hAnsi="宋体" w:cs="宋体"/>
                <w:bCs/>
                <w:kern w:val="0"/>
                <w:szCs w:val="21"/>
              </w:rPr>
              <w:t>序</w:t>
            </w:r>
            <w:r>
              <w:rPr>
                <w:rFonts w:hint="eastAsia" w:ascii="宋体" w:hAnsi="宋体" w:cs="宋体"/>
                <w:bCs/>
                <w:kern w:val="0"/>
                <w:szCs w:val="21"/>
                <w:lang w:val="en-US" w:eastAsia="zh-CN"/>
              </w:rPr>
              <w:t xml:space="preserve"> </w:t>
            </w:r>
            <w:r>
              <w:rPr>
                <w:rFonts w:hint="eastAsia" w:ascii="宋体" w:hAnsi="宋体" w:cs="宋体"/>
                <w:bCs/>
                <w:kern w:val="0"/>
                <w:szCs w:val="21"/>
              </w:rPr>
              <w:t>号</w:t>
            </w:r>
          </w:p>
        </w:tc>
        <w:tc>
          <w:tcPr>
            <w:tcW w:w="510" w:type="pct"/>
            <w:vAlign w:val="center"/>
          </w:tcPr>
          <w:p>
            <w:pPr>
              <w:widowControl/>
              <w:snapToGrid w:val="0"/>
              <w:spacing w:line="360" w:lineRule="auto"/>
              <w:jc w:val="center"/>
              <w:rPr>
                <w:rFonts w:ascii="宋体" w:hAnsi="宋体" w:cs="宋体"/>
                <w:bCs/>
                <w:kern w:val="0"/>
                <w:szCs w:val="21"/>
              </w:rPr>
            </w:pPr>
            <w:r>
              <w:rPr>
                <w:rFonts w:hint="eastAsia" w:ascii="宋体" w:hAnsi="宋体" w:cs="宋体"/>
                <w:bCs/>
                <w:kern w:val="0"/>
                <w:szCs w:val="21"/>
              </w:rPr>
              <w:t>评分因素</w:t>
            </w:r>
          </w:p>
        </w:tc>
        <w:tc>
          <w:tcPr>
            <w:tcW w:w="352" w:type="pct"/>
            <w:vAlign w:val="center"/>
          </w:tcPr>
          <w:p>
            <w:pPr>
              <w:widowControl/>
              <w:snapToGrid w:val="0"/>
              <w:spacing w:line="360" w:lineRule="auto"/>
              <w:jc w:val="center"/>
              <w:rPr>
                <w:rFonts w:ascii="宋体" w:hAnsi="宋体" w:cs="宋体"/>
                <w:bCs/>
                <w:kern w:val="0"/>
                <w:szCs w:val="21"/>
              </w:rPr>
            </w:pPr>
            <w:r>
              <w:rPr>
                <w:rFonts w:hint="eastAsia" w:ascii="宋体" w:hAnsi="宋体" w:cs="宋体"/>
                <w:bCs/>
                <w:kern w:val="0"/>
                <w:szCs w:val="21"/>
              </w:rPr>
              <w:t>分值</w:t>
            </w:r>
          </w:p>
        </w:tc>
        <w:tc>
          <w:tcPr>
            <w:tcW w:w="2496" w:type="pct"/>
            <w:vAlign w:val="center"/>
          </w:tcPr>
          <w:p>
            <w:pPr>
              <w:widowControl/>
              <w:snapToGrid w:val="0"/>
              <w:spacing w:line="360" w:lineRule="auto"/>
              <w:jc w:val="center"/>
              <w:rPr>
                <w:rFonts w:ascii="宋体" w:hAnsi="宋体" w:cs="宋体"/>
                <w:bCs/>
                <w:kern w:val="0"/>
                <w:szCs w:val="21"/>
              </w:rPr>
            </w:pPr>
            <w:r>
              <w:rPr>
                <w:rFonts w:hint="eastAsia" w:ascii="宋体" w:hAnsi="宋体" w:cs="宋体"/>
                <w:bCs/>
                <w:kern w:val="0"/>
                <w:szCs w:val="21"/>
              </w:rPr>
              <w:t>评分标准</w:t>
            </w:r>
          </w:p>
        </w:tc>
        <w:tc>
          <w:tcPr>
            <w:tcW w:w="1155" w:type="pct"/>
            <w:vAlign w:val="center"/>
          </w:tcPr>
          <w:p>
            <w:pPr>
              <w:widowControl/>
              <w:snapToGrid w:val="0"/>
              <w:spacing w:line="360" w:lineRule="auto"/>
              <w:jc w:val="center"/>
              <w:rPr>
                <w:rFonts w:ascii="宋体" w:hAnsi="宋体" w:cs="宋体"/>
                <w:bCs/>
                <w:kern w:val="0"/>
                <w:szCs w:val="21"/>
              </w:rPr>
            </w:pPr>
            <w:r>
              <w:rPr>
                <w:rFonts w:hint="eastAsia" w:ascii="宋体" w:hAnsi="宋体" w:cs="宋体"/>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485" w:type="pct"/>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1</w:t>
            </w:r>
          </w:p>
        </w:tc>
        <w:tc>
          <w:tcPr>
            <w:tcW w:w="510" w:type="pct"/>
            <w:vAlign w:val="center"/>
          </w:tcPr>
          <w:p>
            <w:pPr>
              <w:widowControl/>
              <w:snapToGrid w:val="0"/>
              <w:spacing w:line="360" w:lineRule="auto"/>
              <w:jc w:val="left"/>
              <w:rPr>
                <w:rFonts w:ascii="宋体" w:hAnsi="宋体" w:cs="宋体"/>
                <w:bCs/>
                <w:kern w:val="0"/>
                <w:szCs w:val="21"/>
              </w:rPr>
            </w:pPr>
            <w:r>
              <w:rPr>
                <w:rFonts w:hint="eastAsia" w:ascii="宋体" w:hAnsi="宋体" w:cs="宋体"/>
                <w:bCs/>
                <w:kern w:val="0"/>
                <w:szCs w:val="21"/>
              </w:rPr>
              <w:t>报价30%</w:t>
            </w:r>
          </w:p>
        </w:tc>
        <w:tc>
          <w:tcPr>
            <w:tcW w:w="352" w:type="pct"/>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30</w:t>
            </w:r>
          </w:p>
        </w:tc>
        <w:tc>
          <w:tcPr>
            <w:tcW w:w="2496" w:type="pct"/>
            <w:vAlign w:val="center"/>
          </w:tcPr>
          <w:p>
            <w:pPr>
              <w:adjustRightInd w:val="0"/>
              <w:snapToGrid w:val="0"/>
              <w:spacing w:line="360" w:lineRule="auto"/>
              <w:jc w:val="left"/>
              <w:rPr>
                <w:rFonts w:hint="default" w:ascii="宋体" w:hAnsi="宋体" w:cs="宋体" w:eastAsiaTheme="minorEastAsia"/>
                <w:bCs/>
                <w:color w:val="auto"/>
                <w:kern w:val="0"/>
                <w:szCs w:val="21"/>
                <w:highlight w:val="none"/>
                <w:lang w:val="en-US" w:eastAsia="zh-CN"/>
              </w:rPr>
            </w:pPr>
            <w:r>
              <w:rPr>
                <w:rFonts w:hint="eastAsia" w:ascii="宋体" w:hAnsi="宋体" w:cs="宋体"/>
                <w:bCs/>
                <w:color w:val="auto"/>
                <w:kern w:val="0"/>
                <w:szCs w:val="21"/>
                <w:highlight w:val="none"/>
                <w:lang w:val="en-US" w:eastAsia="zh-CN"/>
              </w:rPr>
              <w:t>以有效投标人的最低评标价为评标基准价，其价格分为30分。其他投标人的价格分统一按照下列公式计算：投标报价得分=（评标基准价÷评标价）×30%×100（保留小数点后两位）。</w:t>
            </w:r>
          </w:p>
        </w:tc>
        <w:tc>
          <w:tcPr>
            <w:tcW w:w="1155" w:type="pct"/>
            <w:vAlign w:val="center"/>
          </w:tcPr>
          <w:p>
            <w:pPr>
              <w:adjustRightInd w:val="0"/>
              <w:snapToGrid w:val="0"/>
              <w:spacing w:line="360" w:lineRule="auto"/>
              <w:jc w:val="left"/>
              <w:rPr>
                <w:rFonts w:hint="eastAsia" w:ascii="宋体" w:hAnsi="宋体" w:cs="宋体" w:eastAsiaTheme="minorEastAsia"/>
                <w:bCs/>
                <w:color w:val="auto"/>
                <w:kern w:val="0"/>
                <w:szCs w:val="21"/>
                <w:highlight w:val="none"/>
                <w:lang w:eastAsia="zh-CN"/>
              </w:rPr>
            </w:pPr>
            <w:r>
              <w:rPr>
                <w:rFonts w:hint="eastAsia" w:ascii="宋体" w:hAnsi="宋体" w:cs="宋体"/>
                <w:bCs/>
                <w:color w:val="auto"/>
                <w:kern w:val="0"/>
                <w:szCs w:val="21"/>
                <w:highlight w:val="none"/>
                <w:lang w:eastAsia="zh-CN"/>
              </w:rPr>
              <w:t>根据单价控制，以折扣率报价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5" w:type="pct"/>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2</w:t>
            </w:r>
          </w:p>
        </w:tc>
        <w:tc>
          <w:tcPr>
            <w:tcW w:w="510" w:type="pct"/>
            <w:vAlign w:val="center"/>
          </w:tcPr>
          <w:p>
            <w:pPr>
              <w:widowControl/>
              <w:snapToGrid w:val="0"/>
              <w:spacing w:line="360" w:lineRule="auto"/>
              <w:jc w:val="left"/>
              <w:rPr>
                <w:rFonts w:ascii="宋体" w:hAnsi="宋体" w:cs="宋体"/>
                <w:bCs/>
                <w:kern w:val="0"/>
                <w:szCs w:val="21"/>
              </w:rPr>
            </w:pPr>
            <w:r>
              <w:rPr>
                <w:rFonts w:hint="eastAsia" w:ascii="宋体" w:hAnsi="宋体" w:cs="宋体"/>
                <w:bCs/>
                <w:kern w:val="0"/>
                <w:szCs w:val="21"/>
              </w:rPr>
              <w:t>技术参数及样品36%</w:t>
            </w:r>
          </w:p>
        </w:tc>
        <w:tc>
          <w:tcPr>
            <w:tcW w:w="352" w:type="pct"/>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36</w:t>
            </w:r>
          </w:p>
        </w:tc>
        <w:tc>
          <w:tcPr>
            <w:tcW w:w="2496" w:type="pct"/>
            <w:vAlign w:val="center"/>
          </w:tcPr>
          <w:p>
            <w:pPr>
              <w:numPr>
                <w:ilvl w:val="0"/>
                <w:numId w:val="9"/>
              </w:numPr>
              <w:adjustRightInd w:val="0"/>
              <w:snapToGrid w:val="0"/>
              <w:spacing w:line="360" w:lineRule="auto"/>
              <w:jc w:val="left"/>
            </w:pPr>
            <w:r>
              <w:rPr>
                <w:rFonts w:hint="eastAsia"/>
              </w:rPr>
              <w:t>根据供应商提供样品和投标文件中技术响应完全符合招标文件要求且没有负偏离的得36分；</w:t>
            </w:r>
          </w:p>
          <w:p>
            <w:pPr>
              <w:numPr>
                <w:ilvl w:val="0"/>
                <w:numId w:val="9"/>
              </w:numPr>
              <w:adjustRightInd w:val="0"/>
              <w:snapToGrid w:val="0"/>
              <w:spacing w:line="360" w:lineRule="auto"/>
              <w:jc w:val="left"/>
            </w:pPr>
            <w:r>
              <w:rPr>
                <w:rFonts w:hint="eastAsia"/>
              </w:rPr>
              <w:t>供应商所提供产品不满足未带★的技术要求的每有一项负偏离扣2分；</w:t>
            </w:r>
          </w:p>
          <w:p>
            <w:pPr>
              <w:numPr>
                <w:ilvl w:val="0"/>
                <w:numId w:val="9"/>
              </w:numPr>
              <w:adjustRightInd w:val="0"/>
              <w:snapToGrid w:val="0"/>
              <w:spacing w:line="360" w:lineRule="auto"/>
              <w:jc w:val="left"/>
            </w:pPr>
            <w:r>
              <w:rPr>
                <w:rFonts w:hint="eastAsia"/>
              </w:rPr>
              <w:t>带★的参数为核心技术要求，每有一项不满足此项不得分。</w:t>
            </w:r>
          </w:p>
          <w:p>
            <w:r>
              <w:rPr>
                <w:rFonts w:hint="eastAsia"/>
              </w:rPr>
              <w:t>注：带★的技术参数中要求提供检测报告的须按要求提供，提供的检测报告开标时在国家市场监管总局网站查询检测报告。</w:t>
            </w:r>
          </w:p>
        </w:tc>
        <w:tc>
          <w:tcPr>
            <w:tcW w:w="1155" w:type="pct"/>
            <w:vAlign w:val="center"/>
          </w:tcPr>
          <w:p>
            <w:pPr>
              <w:widowControl/>
              <w:spacing w:line="360" w:lineRule="auto"/>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5" w:type="pct"/>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3</w:t>
            </w:r>
          </w:p>
        </w:tc>
        <w:tc>
          <w:tcPr>
            <w:tcW w:w="510" w:type="pct"/>
            <w:vAlign w:val="center"/>
          </w:tcPr>
          <w:p>
            <w:pPr>
              <w:rPr>
                <w:rFonts w:ascii="宋体" w:hAnsi="宋体" w:cs="宋体"/>
                <w:bCs/>
                <w:kern w:val="0"/>
                <w:szCs w:val="21"/>
              </w:rPr>
            </w:pPr>
            <w:r>
              <w:rPr>
                <w:rFonts w:hint="eastAsia"/>
                <w:lang w:val="en-US" w:eastAsia="zh-CN"/>
              </w:rPr>
              <w:t>维修</w:t>
            </w:r>
            <w:r>
              <w:rPr>
                <w:rFonts w:hint="eastAsia"/>
              </w:rPr>
              <w:t>实施方案</w:t>
            </w:r>
          </w:p>
        </w:tc>
        <w:tc>
          <w:tcPr>
            <w:tcW w:w="352" w:type="pct"/>
            <w:vAlign w:val="center"/>
          </w:tcPr>
          <w:p>
            <w:pPr>
              <w:jc w:val="center"/>
              <w:rPr>
                <w:rFonts w:ascii="宋体" w:hAnsi="宋体" w:cs="宋体"/>
                <w:bCs/>
                <w:kern w:val="0"/>
                <w:szCs w:val="21"/>
              </w:rPr>
            </w:pPr>
            <w:r>
              <w:rPr>
                <w:rFonts w:hint="eastAsia"/>
              </w:rPr>
              <w:t>25</w:t>
            </w:r>
          </w:p>
        </w:tc>
        <w:tc>
          <w:tcPr>
            <w:tcW w:w="2496" w:type="pct"/>
            <w:vAlign w:val="center"/>
          </w:tcPr>
          <w:p>
            <w:r>
              <w:rPr>
                <w:rFonts w:hint="eastAsia"/>
              </w:rPr>
              <w:t>根据本项目针对供应商</w:t>
            </w:r>
            <w:r>
              <w:rPr>
                <w:rFonts w:hint="eastAsia"/>
                <w:lang w:val="en-US" w:eastAsia="zh-CN"/>
              </w:rPr>
              <w:t>所提供</w:t>
            </w:r>
            <w:r>
              <w:rPr>
                <w:rFonts w:hint="eastAsia"/>
              </w:rPr>
              <w:t>的</w:t>
            </w:r>
            <w:r>
              <w:rPr>
                <w:rFonts w:hint="eastAsia"/>
                <w:lang w:val="en-US" w:eastAsia="zh-CN"/>
              </w:rPr>
              <w:t>维修</w:t>
            </w:r>
            <w:r>
              <w:rPr>
                <w:rFonts w:hint="eastAsia"/>
              </w:rPr>
              <w:t>方案如下：</w:t>
            </w:r>
          </w:p>
          <w:p>
            <w:pPr>
              <w:rPr>
                <w:highlight w:val="none"/>
              </w:rPr>
            </w:pPr>
            <w:r>
              <w:rPr>
                <w:rFonts w:hint="eastAsia"/>
                <w:highlight w:val="none"/>
                <w:lang w:val="en-US" w:eastAsia="zh-CN"/>
              </w:rPr>
              <w:t>维修</w:t>
            </w:r>
            <w:r>
              <w:rPr>
                <w:rFonts w:hint="eastAsia"/>
                <w:highlight w:val="none"/>
              </w:rPr>
              <w:t>实施方案包括但不限于：①运输方案，②</w:t>
            </w:r>
            <w:r>
              <w:rPr>
                <w:rFonts w:hint="eastAsia"/>
                <w:highlight w:val="none"/>
                <w:lang w:val="en-US" w:eastAsia="zh-CN"/>
              </w:rPr>
              <w:t>维修</w:t>
            </w:r>
            <w:r>
              <w:rPr>
                <w:rFonts w:hint="eastAsia"/>
                <w:highlight w:val="none"/>
              </w:rPr>
              <w:t>、</w:t>
            </w:r>
            <w:r>
              <w:rPr>
                <w:rFonts w:hint="eastAsia"/>
                <w:highlight w:val="none"/>
                <w:lang w:val="en-US" w:eastAsia="zh-CN"/>
              </w:rPr>
              <w:t>更换</w:t>
            </w:r>
            <w:r>
              <w:rPr>
                <w:rFonts w:hint="eastAsia"/>
                <w:highlight w:val="none"/>
              </w:rPr>
              <w:t>实施方案；③质量保障措施；④管理制度</w:t>
            </w:r>
            <w:r>
              <w:rPr>
                <w:rFonts w:hint="eastAsia"/>
                <w:highlight w:val="none"/>
                <w:lang w:eastAsia="zh-CN"/>
              </w:rPr>
              <w:t>；</w:t>
            </w:r>
            <w:r>
              <w:rPr>
                <w:rFonts w:hint="eastAsia"/>
                <w:color w:val="000000" w:themeColor="text1"/>
                <w:highlight w:val="none"/>
                <w:lang w:val="en-US" w:eastAsia="zh-CN"/>
                <w14:textFill>
                  <w14:solidFill>
                    <w14:schemeClr w14:val="tx1"/>
                  </w14:solidFill>
                </w14:textFill>
              </w:rPr>
              <w:t>⑤</w:t>
            </w:r>
            <w:r>
              <w:rPr>
                <w:color w:val="000000" w:themeColor="text1"/>
                <w:highlight w:val="none"/>
                <w14:textFill>
                  <w14:solidFill>
                    <w14:schemeClr w14:val="tx1"/>
                  </w14:solidFill>
                </w14:textFill>
              </w:rPr>
              <w:t>进度计划和保证措施方案</w:t>
            </w:r>
            <w:r>
              <w:rPr>
                <w:rFonts w:hint="eastAsia"/>
                <w:color w:val="000000" w:themeColor="text1"/>
                <w:highlight w:val="none"/>
                <w14:textFill>
                  <w14:solidFill>
                    <w14:schemeClr w14:val="tx1"/>
                  </w14:solidFill>
                </w14:textFill>
              </w:rPr>
              <w:t>等</w:t>
            </w:r>
            <w:r>
              <w:rPr>
                <w:rFonts w:hint="eastAsia"/>
                <w:highlight w:val="none"/>
              </w:rPr>
              <w:t>进行综合评分，全部满足得</w:t>
            </w:r>
            <w:r>
              <w:rPr>
                <w:rFonts w:hint="eastAsia"/>
                <w:highlight w:val="none"/>
                <w:lang w:val="en-US" w:eastAsia="zh-CN"/>
              </w:rPr>
              <w:t>25</w:t>
            </w:r>
            <w:r>
              <w:rPr>
                <w:rFonts w:hint="eastAsia"/>
                <w:highlight w:val="none"/>
              </w:rPr>
              <w:t>分，有一项不满足或者内容有错误扣</w:t>
            </w:r>
            <w:r>
              <w:rPr>
                <w:rFonts w:hint="eastAsia"/>
                <w:highlight w:val="none"/>
                <w:lang w:val="en-US" w:eastAsia="zh-CN"/>
              </w:rPr>
              <w:t>5</w:t>
            </w:r>
            <w:r>
              <w:rPr>
                <w:rFonts w:hint="eastAsia"/>
                <w:highlight w:val="none"/>
              </w:rPr>
              <w:t>分，直至扣完为止。</w:t>
            </w:r>
          </w:p>
          <w:p>
            <w:pPr>
              <w:rPr>
                <w:rFonts w:ascii="宋体" w:hAnsi="宋体" w:cs="宋体"/>
                <w:bCs/>
                <w:kern w:val="0"/>
                <w:szCs w:val="21"/>
              </w:rPr>
            </w:pPr>
            <w:r>
              <w:rPr>
                <w:rFonts w:hint="eastAsia"/>
              </w:rPr>
              <w:t>注：每有一项内容有错误（错误是指：分析内容与实际情况不符或内容前后不一致或前后逻辑错误。</w:t>
            </w:r>
          </w:p>
        </w:tc>
        <w:tc>
          <w:tcPr>
            <w:tcW w:w="1155" w:type="pct"/>
            <w:vAlign w:val="center"/>
          </w:tcPr>
          <w:p>
            <w:pPr>
              <w:widowControl/>
              <w:spacing w:line="360" w:lineRule="auto"/>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atLeast"/>
          <w:jc w:val="center"/>
        </w:trPr>
        <w:tc>
          <w:tcPr>
            <w:tcW w:w="485" w:type="pct"/>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4</w:t>
            </w:r>
          </w:p>
        </w:tc>
        <w:tc>
          <w:tcPr>
            <w:tcW w:w="510" w:type="pct"/>
            <w:vAlign w:val="center"/>
          </w:tcPr>
          <w:p>
            <w:pPr>
              <w:rPr>
                <w:rFonts w:ascii="宋体" w:hAnsi="宋体" w:cs="宋体"/>
                <w:bCs/>
                <w:color w:val="0000FF"/>
                <w:kern w:val="0"/>
                <w:szCs w:val="21"/>
              </w:rPr>
            </w:pPr>
            <w:r>
              <w:rPr>
                <w:rFonts w:hint="eastAsia"/>
              </w:rPr>
              <w:t>售后服务</w:t>
            </w:r>
          </w:p>
        </w:tc>
        <w:tc>
          <w:tcPr>
            <w:tcW w:w="352" w:type="pct"/>
            <w:vAlign w:val="center"/>
          </w:tcPr>
          <w:p>
            <w:pPr>
              <w:jc w:val="center"/>
              <w:rPr>
                <w:rFonts w:ascii="宋体" w:hAnsi="宋体" w:cs="宋体"/>
                <w:bCs/>
                <w:color w:val="0000FF"/>
                <w:kern w:val="0"/>
                <w:szCs w:val="21"/>
              </w:rPr>
            </w:pPr>
            <w:r>
              <w:rPr>
                <w:rFonts w:hint="eastAsia"/>
              </w:rPr>
              <w:t>6</w:t>
            </w:r>
          </w:p>
        </w:tc>
        <w:tc>
          <w:tcPr>
            <w:tcW w:w="2496" w:type="pct"/>
            <w:vAlign w:val="center"/>
          </w:tcPr>
          <w:p>
            <w:r>
              <w:rPr>
                <w:rFonts w:hint="eastAsia"/>
              </w:rPr>
              <w:t>根据投标人的售后服务方案的内容：包括独立的①售后服务机构及售后服务人员配置、②售后服务响应时间、③服务保障措施；④解决故障及定期维护方案进行综合评分，内容齐全且内容完全满足本项目需求。有一项不满足或者内容有错误扣1.5分，直至扣完为止。</w:t>
            </w:r>
          </w:p>
          <w:p>
            <w:pPr>
              <w:rPr>
                <w:rFonts w:ascii="宋体" w:hAnsi="宋体" w:cs="宋体"/>
                <w:bCs/>
                <w:color w:val="0000FF"/>
                <w:kern w:val="0"/>
                <w:szCs w:val="21"/>
              </w:rPr>
            </w:pPr>
            <w:r>
              <w:rPr>
                <w:rFonts w:hint="eastAsia"/>
              </w:rPr>
              <w:t>注：每有一项内容有错误（错误是指：分析内容与实际情况不符或内容前后不一致或前后逻辑错误）</w:t>
            </w:r>
          </w:p>
        </w:tc>
        <w:tc>
          <w:tcPr>
            <w:tcW w:w="1155" w:type="pct"/>
            <w:vAlign w:val="center"/>
          </w:tcPr>
          <w:p>
            <w:pPr>
              <w:widowControl/>
              <w:spacing w:line="360" w:lineRule="auto"/>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485" w:type="pct"/>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5</w:t>
            </w:r>
          </w:p>
        </w:tc>
        <w:tc>
          <w:tcPr>
            <w:tcW w:w="510" w:type="pct"/>
            <w:vAlign w:val="center"/>
          </w:tcPr>
          <w:p>
            <w:pPr>
              <w:rPr>
                <w:rFonts w:ascii="宋体" w:hAnsi="宋体" w:cs="宋体"/>
                <w:bCs/>
                <w:color w:val="0000FF"/>
                <w:kern w:val="0"/>
                <w:szCs w:val="21"/>
              </w:rPr>
            </w:pPr>
            <w:r>
              <w:rPr>
                <w:rFonts w:hint="eastAsia"/>
              </w:rPr>
              <w:t>业绩</w:t>
            </w:r>
          </w:p>
        </w:tc>
        <w:tc>
          <w:tcPr>
            <w:tcW w:w="352" w:type="pct"/>
            <w:vAlign w:val="center"/>
          </w:tcPr>
          <w:p>
            <w:pPr>
              <w:jc w:val="center"/>
              <w:rPr>
                <w:rFonts w:ascii="宋体" w:hAnsi="宋体" w:cs="宋体"/>
                <w:bCs/>
                <w:color w:val="0000FF"/>
                <w:kern w:val="0"/>
                <w:szCs w:val="21"/>
              </w:rPr>
            </w:pPr>
            <w:r>
              <w:rPr>
                <w:rFonts w:hint="eastAsia"/>
              </w:rPr>
              <w:t>3</w:t>
            </w:r>
          </w:p>
        </w:tc>
        <w:tc>
          <w:tcPr>
            <w:tcW w:w="2496" w:type="pct"/>
            <w:vAlign w:val="center"/>
          </w:tcPr>
          <w:p>
            <w:pPr>
              <w:rPr>
                <w:rFonts w:ascii="宋体" w:hAnsi="宋体" w:cs="宋体"/>
                <w:bCs/>
                <w:color w:val="0000FF"/>
                <w:kern w:val="0"/>
                <w:szCs w:val="21"/>
                <w:highlight w:val="none"/>
              </w:rPr>
            </w:pPr>
            <w:r>
              <w:rPr>
                <w:rFonts w:hint="eastAsia"/>
                <w:highlight w:val="none"/>
              </w:rPr>
              <w:t>供应商提供</w:t>
            </w:r>
            <w:r>
              <w:rPr>
                <w:rFonts w:hint="eastAsia"/>
                <w:highlight w:val="none"/>
                <w:lang w:eastAsia="zh-CN"/>
              </w:rPr>
              <w:t>近三年（</w:t>
            </w:r>
            <w:r>
              <w:rPr>
                <w:rFonts w:hint="eastAsia"/>
                <w:highlight w:val="none"/>
                <w:lang w:val="en-US" w:eastAsia="zh-CN"/>
              </w:rPr>
              <w:t>2020年1月1日－至今</w:t>
            </w:r>
            <w:r>
              <w:rPr>
                <w:rFonts w:hint="eastAsia"/>
                <w:highlight w:val="none"/>
                <w:lang w:eastAsia="zh-CN"/>
              </w:rPr>
              <w:t>）</w:t>
            </w:r>
            <w:r>
              <w:rPr>
                <w:rFonts w:hint="eastAsia"/>
                <w:highlight w:val="none"/>
              </w:rPr>
              <w:t>以来类似产品项目业绩，每提供一个得1分，最多得3分。</w:t>
            </w:r>
          </w:p>
        </w:tc>
        <w:tc>
          <w:tcPr>
            <w:tcW w:w="1155" w:type="pct"/>
            <w:vAlign w:val="center"/>
          </w:tcPr>
          <w:p>
            <w:pPr>
              <w:widowControl/>
              <w:spacing w:line="360" w:lineRule="auto"/>
              <w:jc w:val="left"/>
              <w:rPr>
                <w:rFonts w:hint="default" w:ascii="宋体" w:hAnsi="宋体" w:cs="宋体" w:eastAsiaTheme="minorEastAsia"/>
                <w:bCs/>
                <w:kern w:val="0"/>
                <w:szCs w:val="21"/>
                <w:highlight w:val="none"/>
                <w:lang w:val="en-US" w:eastAsia="zh-CN"/>
              </w:rPr>
            </w:pPr>
            <w:r>
              <w:rPr>
                <w:rFonts w:hint="eastAsia" w:ascii="宋体" w:hAnsi="宋体" w:cs="宋体"/>
                <w:bCs/>
                <w:kern w:val="0"/>
                <w:szCs w:val="21"/>
                <w:highlight w:val="none"/>
                <w:lang w:val="en-US" w:eastAsia="zh-CN"/>
              </w:rPr>
              <w:t>需提供合同复印件或中标/中标通知书复印件或其他能证明业绩的材料加盖供应商公章</w:t>
            </w:r>
          </w:p>
        </w:tc>
      </w:tr>
    </w:tbl>
    <w:p>
      <w:pPr>
        <w:rPr>
          <w:rFonts w:hint="default" w:ascii="宋体" w:hAnsi="宋体" w:eastAsia="宋体" w:cs="宋体"/>
          <w:sz w:val="28"/>
          <w:szCs w:val="28"/>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70D2B"/>
    <w:multiLevelType w:val="singleLevel"/>
    <w:tmpl w:val="84270D2B"/>
    <w:lvl w:ilvl="0" w:tentative="0">
      <w:start w:val="1"/>
      <w:numFmt w:val="decimal"/>
      <w:suff w:val="nothing"/>
      <w:lvlText w:val="%1、"/>
      <w:lvlJc w:val="left"/>
    </w:lvl>
  </w:abstractNum>
  <w:abstractNum w:abstractNumId="1">
    <w:nsid w:val="90BE150E"/>
    <w:multiLevelType w:val="singleLevel"/>
    <w:tmpl w:val="90BE150E"/>
    <w:lvl w:ilvl="0" w:tentative="0">
      <w:start w:val="1"/>
      <w:numFmt w:val="decimal"/>
      <w:suff w:val="nothing"/>
      <w:lvlText w:val="%1、"/>
      <w:lvlJc w:val="left"/>
    </w:lvl>
  </w:abstractNum>
  <w:abstractNum w:abstractNumId="2">
    <w:nsid w:val="97D53361"/>
    <w:multiLevelType w:val="singleLevel"/>
    <w:tmpl w:val="97D53361"/>
    <w:lvl w:ilvl="0" w:tentative="0">
      <w:start w:val="1"/>
      <w:numFmt w:val="decimal"/>
      <w:suff w:val="nothing"/>
      <w:lvlText w:val="%1、"/>
      <w:lvlJc w:val="left"/>
    </w:lvl>
  </w:abstractNum>
  <w:abstractNum w:abstractNumId="3">
    <w:nsid w:val="AF137959"/>
    <w:multiLevelType w:val="singleLevel"/>
    <w:tmpl w:val="AF137959"/>
    <w:lvl w:ilvl="0" w:tentative="0">
      <w:start w:val="1"/>
      <w:numFmt w:val="decimal"/>
      <w:suff w:val="nothing"/>
      <w:lvlText w:val="%1、"/>
      <w:lvlJc w:val="left"/>
    </w:lvl>
  </w:abstractNum>
  <w:abstractNum w:abstractNumId="4">
    <w:nsid w:val="B5874055"/>
    <w:multiLevelType w:val="singleLevel"/>
    <w:tmpl w:val="B5874055"/>
    <w:lvl w:ilvl="0" w:tentative="0">
      <w:start w:val="1"/>
      <w:numFmt w:val="decimal"/>
      <w:suff w:val="nothing"/>
      <w:lvlText w:val="%1、"/>
      <w:lvlJc w:val="left"/>
    </w:lvl>
  </w:abstractNum>
  <w:abstractNum w:abstractNumId="5">
    <w:nsid w:val="C39BDA96"/>
    <w:multiLevelType w:val="singleLevel"/>
    <w:tmpl w:val="C39BDA96"/>
    <w:lvl w:ilvl="0" w:tentative="0">
      <w:start w:val="1"/>
      <w:numFmt w:val="decimal"/>
      <w:suff w:val="nothing"/>
      <w:lvlText w:val="%1、"/>
      <w:lvlJc w:val="left"/>
    </w:lvl>
  </w:abstractNum>
  <w:abstractNum w:abstractNumId="6">
    <w:nsid w:val="DE6C9ACF"/>
    <w:multiLevelType w:val="singleLevel"/>
    <w:tmpl w:val="DE6C9ACF"/>
    <w:lvl w:ilvl="0" w:tentative="0">
      <w:start w:val="1"/>
      <w:numFmt w:val="decimal"/>
      <w:suff w:val="nothing"/>
      <w:lvlText w:val="%1、"/>
      <w:lvlJc w:val="left"/>
    </w:lvl>
  </w:abstractNum>
  <w:abstractNum w:abstractNumId="7">
    <w:nsid w:val="0889FF42"/>
    <w:multiLevelType w:val="singleLevel"/>
    <w:tmpl w:val="0889FF42"/>
    <w:lvl w:ilvl="0" w:tentative="0">
      <w:start w:val="1"/>
      <w:numFmt w:val="decimal"/>
      <w:suff w:val="nothing"/>
      <w:lvlText w:val="%1、"/>
      <w:lvlJc w:val="left"/>
    </w:lvl>
  </w:abstractNum>
  <w:abstractNum w:abstractNumId="8">
    <w:nsid w:val="4FF7A09E"/>
    <w:multiLevelType w:val="singleLevel"/>
    <w:tmpl w:val="4FF7A09E"/>
    <w:lvl w:ilvl="0" w:tentative="0">
      <w:start w:val="1"/>
      <w:numFmt w:val="chineseCounting"/>
      <w:suff w:val="nothing"/>
      <w:lvlText w:val="%1、"/>
      <w:lvlJc w:val="left"/>
      <w:rPr>
        <w:rFonts w:hint="eastAsia"/>
      </w:rPr>
    </w:lvl>
  </w:abstractNum>
  <w:num w:numId="1">
    <w:abstractNumId w:val="8"/>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NGRkZjkyYTBjY2U1ZTY3ODBiODgwMGI2N2ZiODYifQ=="/>
  </w:docVars>
  <w:rsids>
    <w:rsidRoot w:val="00000000"/>
    <w:rsid w:val="064918B1"/>
    <w:rsid w:val="06E94E42"/>
    <w:rsid w:val="075B1C83"/>
    <w:rsid w:val="075C5F4B"/>
    <w:rsid w:val="12B8002B"/>
    <w:rsid w:val="1585667E"/>
    <w:rsid w:val="19EC6BBE"/>
    <w:rsid w:val="19F94C96"/>
    <w:rsid w:val="1E1C4709"/>
    <w:rsid w:val="20174376"/>
    <w:rsid w:val="21227CE9"/>
    <w:rsid w:val="2AA2520C"/>
    <w:rsid w:val="2B321476"/>
    <w:rsid w:val="32263177"/>
    <w:rsid w:val="35987C0A"/>
    <w:rsid w:val="3ED77799"/>
    <w:rsid w:val="44623F72"/>
    <w:rsid w:val="47FA12A0"/>
    <w:rsid w:val="48C06AA9"/>
    <w:rsid w:val="4A2A3B6E"/>
    <w:rsid w:val="4A476041"/>
    <w:rsid w:val="4C6360CA"/>
    <w:rsid w:val="4EE24A7D"/>
    <w:rsid w:val="54D25FC6"/>
    <w:rsid w:val="55B9333E"/>
    <w:rsid w:val="59F065BC"/>
    <w:rsid w:val="5C351162"/>
    <w:rsid w:val="63BD557E"/>
    <w:rsid w:val="67D44A89"/>
    <w:rsid w:val="69FA4FCD"/>
    <w:rsid w:val="69FA5010"/>
    <w:rsid w:val="6FD35191"/>
    <w:rsid w:val="6FE76F52"/>
    <w:rsid w:val="72CF3394"/>
    <w:rsid w:val="756845CD"/>
    <w:rsid w:val="77572331"/>
    <w:rsid w:val="7A316DFD"/>
    <w:rsid w:val="7A5F6B06"/>
    <w:rsid w:val="7B364826"/>
    <w:rsid w:val="7BB36CCE"/>
    <w:rsid w:val="7E8B4E88"/>
    <w:rsid w:val="7F582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2149</Words>
  <Characters>2356</Characters>
  <Lines>0</Lines>
  <Paragraphs>0</Paragraphs>
  <TotalTime>13</TotalTime>
  <ScaleCrop>false</ScaleCrop>
  <LinksUpToDate>false</LinksUpToDate>
  <CharactersWithSpaces>2361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2023-05-18T07:59:00Z</dcterms:created>
  <dc:creator>Administrator</dc:creator>
  <cp:lastModifiedBy>李粒粒✨</cp:lastModifiedBy>
  <cp:lastPrinted>2023-06-13T00:13:00Z</cp:lastPrinted>
  <dcterms:modified xsi:type="dcterms:W3CDTF">2023-07-25T06:38:33Z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FCB35B81BAD24B36BCABA01D51B1E1A8_13</vt:lpwstr>
  </property>
</Properties>
</file>