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28"/>
        </w:rPr>
      </w:pPr>
      <w:r>
        <w:rPr>
          <w:rFonts w:hint="eastAsia" w:ascii="宋体" w:hAnsi="宋体"/>
          <w:b/>
          <w:sz w:val="36"/>
          <w:szCs w:val="28"/>
        </w:rPr>
        <w:t>江油市人民医院</w:t>
      </w:r>
    </w:p>
    <w:p>
      <w:pPr>
        <w:jc w:val="center"/>
        <w:rPr>
          <w:rFonts w:ascii="宋体" w:hAnsi="宋体"/>
          <w:b/>
          <w:sz w:val="36"/>
          <w:szCs w:val="28"/>
        </w:rPr>
      </w:pPr>
      <w:r>
        <w:rPr>
          <w:rFonts w:hint="eastAsia" w:ascii="宋体" w:hAnsi="宋体"/>
          <w:b/>
          <w:sz w:val="36"/>
          <w:szCs w:val="28"/>
          <w:lang w:val="en-US" w:eastAsia="zh-CN"/>
        </w:rPr>
        <w:t>病房三网融合服务</w:t>
      </w:r>
      <w:r>
        <w:rPr>
          <w:rFonts w:hint="eastAsia" w:ascii="宋体" w:hAnsi="宋体"/>
          <w:b/>
          <w:sz w:val="36"/>
          <w:szCs w:val="28"/>
        </w:rPr>
        <w:t>项目采购需求</w:t>
      </w:r>
    </w:p>
    <w:p>
      <w:pPr>
        <w:numPr>
          <w:ilvl w:val="0"/>
          <w:numId w:val="1"/>
        </w:numPr>
        <w:rPr>
          <w:rFonts w:hint="eastAsia" w:ascii="宋体" w:hAnsi="宋体"/>
          <w:b/>
          <w:sz w:val="28"/>
          <w:szCs w:val="28"/>
        </w:rPr>
      </w:pPr>
      <w:r>
        <w:rPr>
          <w:rFonts w:hint="eastAsia" w:ascii="宋体" w:hAnsi="宋体"/>
          <w:b/>
          <w:sz w:val="28"/>
          <w:szCs w:val="28"/>
        </w:rPr>
        <w:t>项目名称</w:t>
      </w:r>
      <w:r>
        <w:rPr>
          <w:rFonts w:hint="eastAsia" w:ascii="宋体" w:hAnsi="宋体"/>
          <w:b/>
          <w:sz w:val="28"/>
          <w:szCs w:val="28"/>
          <w:lang w:eastAsia="zh-CN"/>
        </w:rPr>
        <w:t>、</w:t>
      </w:r>
      <w:r>
        <w:rPr>
          <w:rFonts w:hint="eastAsia" w:ascii="宋体" w:hAnsi="宋体"/>
          <w:b/>
          <w:sz w:val="28"/>
          <w:szCs w:val="28"/>
        </w:rPr>
        <w:t>数量</w:t>
      </w:r>
      <w:r>
        <w:rPr>
          <w:rFonts w:hint="eastAsia" w:ascii="宋体" w:hAnsi="宋体"/>
          <w:b/>
          <w:sz w:val="28"/>
          <w:szCs w:val="28"/>
          <w:lang w:eastAsia="zh-CN"/>
        </w:rPr>
        <w:t>、</w:t>
      </w:r>
      <w:r>
        <w:rPr>
          <w:rFonts w:hint="eastAsia" w:ascii="宋体" w:hAnsi="宋体"/>
          <w:b/>
          <w:sz w:val="28"/>
          <w:szCs w:val="28"/>
        </w:rPr>
        <w:t>预算金额(可以列清单):</w:t>
      </w:r>
    </w:p>
    <w:tbl>
      <w:tblPr>
        <w:tblStyle w:val="7"/>
        <w:tblpPr w:leftFromText="180" w:rightFromText="180" w:vertAnchor="text" w:tblpXSpec="center" w:tblpY="1"/>
        <w:tblOverlap w:val="never"/>
        <w:tblW w:w="3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523"/>
        <w:gridCol w:w="1338"/>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pct"/>
          </w:tcPr>
          <w:p>
            <w:pPr>
              <w:pStyle w:val="2"/>
              <w:numPr>
                <w:ilvl w:val="0"/>
                <w:numId w:val="0"/>
              </w:numPr>
              <w:jc w:val="center"/>
              <w:rPr>
                <w:rFonts w:hint="default"/>
                <w:vertAlign w:val="baseline"/>
                <w:lang w:val="en-US" w:eastAsia="zh-CN"/>
              </w:rPr>
            </w:pPr>
            <w:r>
              <w:rPr>
                <w:rFonts w:hint="eastAsia"/>
                <w:vertAlign w:val="baseline"/>
                <w:lang w:val="en-US" w:eastAsia="zh-CN"/>
              </w:rPr>
              <w:t>序号</w:t>
            </w:r>
          </w:p>
        </w:tc>
        <w:tc>
          <w:tcPr>
            <w:tcW w:w="1157" w:type="pct"/>
          </w:tcPr>
          <w:p>
            <w:pPr>
              <w:pStyle w:val="2"/>
              <w:numPr>
                <w:ilvl w:val="0"/>
                <w:numId w:val="0"/>
              </w:numPr>
              <w:jc w:val="center"/>
              <w:rPr>
                <w:rFonts w:hint="default" w:eastAsia="宋体"/>
                <w:vertAlign w:val="baseline"/>
                <w:lang w:val="en-US" w:eastAsia="zh-CN"/>
              </w:rPr>
            </w:pPr>
            <w:r>
              <w:rPr>
                <w:rFonts w:hint="eastAsia"/>
                <w:vertAlign w:val="baseline"/>
                <w:lang w:val="en-US" w:eastAsia="zh-CN"/>
              </w:rPr>
              <w:t>货物名称</w:t>
            </w:r>
          </w:p>
        </w:tc>
        <w:tc>
          <w:tcPr>
            <w:tcW w:w="1017" w:type="pct"/>
          </w:tcPr>
          <w:p>
            <w:pPr>
              <w:pStyle w:val="2"/>
              <w:numPr>
                <w:ilvl w:val="0"/>
                <w:numId w:val="0"/>
              </w:numPr>
              <w:jc w:val="center"/>
              <w:rPr>
                <w:rFonts w:hint="eastAsia" w:eastAsia="宋体"/>
                <w:vertAlign w:val="baseline"/>
                <w:lang w:val="en-US" w:eastAsia="zh-CN"/>
              </w:rPr>
            </w:pPr>
            <w:r>
              <w:rPr>
                <w:rFonts w:hint="eastAsia"/>
                <w:vertAlign w:val="baseline"/>
                <w:lang w:val="en-US" w:eastAsia="zh-CN"/>
              </w:rPr>
              <w:t>数量</w:t>
            </w:r>
          </w:p>
        </w:tc>
        <w:tc>
          <w:tcPr>
            <w:tcW w:w="1666" w:type="pct"/>
          </w:tcPr>
          <w:p>
            <w:pPr>
              <w:pStyle w:val="2"/>
              <w:numPr>
                <w:ilvl w:val="0"/>
                <w:numId w:val="0"/>
              </w:numPr>
              <w:jc w:val="center"/>
              <w:rPr>
                <w:rFonts w:hint="eastAsia"/>
                <w:vertAlign w:val="baseline"/>
                <w:lang w:val="en-US" w:eastAsia="zh-CN"/>
              </w:rPr>
            </w:pPr>
            <w:r>
              <w:rPr>
                <w:rFonts w:hint="eastAsia"/>
                <w:vertAlign w:val="baseline"/>
                <w:lang w:val="en-US" w:eastAsia="zh-CN"/>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pct"/>
            <w:vAlign w:val="center"/>
          </w:tcPr>
          <w:p>
            <w:pPr>
              <w:pStyle w:val="2"/>
              <w:numPr>
                <w:ilvl w:val="0"/>
                <w:numId w:val="0"/>
              </w:numPr>
              <w:ind w:left="0" w:leftChars="0" w:firstLine="0" w:firstLineChars="0"/>
              <w:jc w:val="center"/>
              <w:rPr>
                <w:rFonts w:hint="default" w:ascii="Calibri" w:hAnsi="Calibri" w:eastAsia="宋体" w:cs="Times New Roman"/>
                <w:kern w:val="2"/>
                <w:sz w:val="21"/>
                <w:szCs w:val="22"/>
                <w:vertAlign w:val="baseline"/>
                <w:lang w:val="en-US" w:eastAsia="zh-CN" w:bidi="ar-SA"/>
              </w:rPr>
            </w:pPr>
            <w:r>
              <w:rPr>
                <w:rFonts w:hint="eastAsia" w:ascii="Calibri" w:hAnsi="Calibri" w:cs="Times New Roman"/>
                <w:kern w:val="2"/>
                <w:sz w:val="21"/>
                <w:szCs w:val="22"/>
                <w:vertAlign w:val="baseline"/>
                <w:lang w:val="en-US" w:eastAsia="zh-CN" w:bidi="ar-SA"/>
              </w:rPr>
              <w:t>1</w:t>
            </w:r>
          </w:p>
        </w:tc>
        <w:tc>
          <w:tcPr>
            <w:tcW w:w="1157" w:type="pct"/>
            <w:vAlign w:val="center"/>
          </w:tcPr>
          <w:p>
            <w:pPr>
              <w:pStyle w:val="2"/>
              <w:numPr>
                <w:ilvl w:val="0"/>
                <w:numId w:val="0"/>
              </w:numPr>
              <w:jc w:val="center"/>
              <w:rPr>
                <w:rFonts w:hint="default"/>
                <w:vertAlign w:val="baseline"/>
                <w:lang w:val="en-US"/>
              </w:rPr>
            </w:pPr>
            <w:r>
              <w:rPr>
                <w:rFonts w:hint="eastAsia"/>
                <w:vertAlign w:val="baseline"/>
                <w:lang w:val="en-US" w:eastAsia="zh-CN"/>
              </w:rPr>
              <w:t>病房三网融合服务</w:t>
            </w:r>
          </w:p>
        </w:tc>
        <w:tc>
          <w:tcPr>
            <w:tcW w:w="1017" w:type="pct"/>
            <w:vAlign w:val="center"/>
          </w:tcPr>
          <w:p>
            <w:pPr>
              <w:pStyle w:val="2"/>
              <w:numPr>
                <w:ilvl w:val="0"/>
                <w:numId w:val="0"/>
              </w:numPr>
              <w:jc w:val="center"/>
              <w:rPr>
                <w:rFonts w:hint="default" w:eastAsia="宋体"/>
                <w:vertAlign w:val="baseline"/>
                <w:lang w:val="en-US" w:eastAsia="zh-CN"/>
              </w:rPr>
            </w:pPr>
            <w:r>
              <w:rPr>
                <w:rFonts w:hint="eastAsia"/>
                <w:vertAlign w:val="baseline"/>
                <w:lang w:val="en-US" w:eastAsia="zh-CN"/>
              </w:rPr>
              <w:t>1年</w:t>
            </w:r>
          </w:p>
        </w:tc>
        <w:tc>
          <w:tcPr>
            <w:tcW w:w="1666" w:type="pct"/>
            <w:vAlign w:val="center"/>
          </w:tcPr>
          <w:p>
            <w:pPr>
              <w:pStyle w:val="2"/>
              <w:numPr>
                <w:ilvl w:val="0"/>
                <w:numId w:val="0"/>
              </w:numPr>
              <w:jc w:val="center"/>
              <w:rPr>
                <w:rFonts w:hint="eastAsia"/>
                <w:vertAlign w:val="baseline"/>
                <w:lang w:val="en-US" w:eastAsia="zh-CN"/>
              </w:rPr>
            </w:pPr>
            <w:r>
              <w:rPr>
                <w:rFonts w:hint="eastAsia"/>
                <w:vertAlign w:val="baseline"/>
                <w:lang w:val="en-US" w:eastAsia="zh-CN"/>
              </w:rPr>
              <w:t>7</w:t>
            </w:r>
          </w:p>
        </w:tc>
      </w:tr>
    </w:tbl>
    <w:p>
      <w:pPr>
        <w:numPr>
          <w:ilvl w:val="0"/>
          <w:numId w:val="1"/>
        </w:numPr>
        <w:ind w:left="0" w:leftChars="0" w:firstLine="0" w:firstLineChars="0"/>
        <w:rPr>
          <w:rFonts w:hint="eastAsia" w:ascii="仿宋" w:hAnsi="仿宋" w:eastAsia="仿宋" w:cs="仿宋"/>
          <w:b/>
          <w:bCs/>
          <w:sz w:val="30"/>
          <w:szCs w:val="30"/>
          <w:lang w:val="en-US" w:eastAsia="zh-CN"/>
        </w:rPr>
      </w:pPr>
      <w:bookmarkStart w:id="0" w:name="_GoBack"/>
      <w:r>
        <w:rPr>
          <w:rFonts w:hint="eastAsia" w:ascii="宋体" w:hAnsi="宋体"/>
          <w:b/>
          <w:sz w:val="30"/>
          <w:szCs w:val="30"/>
          <w:lang w:val="en-US" w:eastAsia="zh-CN"/>
        </w:rPr>
        <w:t>项目类型：</w:t>
      </w:r>
      <w:r>
        <w:rPr>
          <w:rFonts w:hint="eastAsia" w:ascii="仿宋" w:hAnsi="仿宋" w:eastAsia="仿宋" w:cs="仿宋"/>
          <w:b/>
          <w:bCs/>
          <w:sz w:val="30"/>
          <w:szCs w:val="30"/>
          <w:lang w:val="en-US" w:eastAsia="zh-CN"/>
        </w:rPr>
        <w:t>服务类</w:t>
      </w:r>
    </w:p>
    <w:p>
      <w:pPr>
        <w:numPr>
          <w:ilvl w:val="0"/>
          <w:numId w:val="1"/>
        </w:numPr>
        <w:ind w:left="0" w:leftChars="0" w:firstLine="0" w:firstLineChars="0"/>
        <w:rPr>
          <w:rFonts w:hint="default" w:ascii="仿宋" w:hAnsi="仿宋" w:eastAsia="仿宋" w:cs="仿宋"/>
          <w:b/>
          <w:bCs/>
          <w:sz w:val="30"/>
          <w:szCs w:val="30"/>
          <w:lang w:val="en-US" w:eastAsia="zh-CN"/>
        </w:rPr>
      </w:pPr>
      <w:r>
        <w:rPr>
          <w:rFonts w:hint="eastAsia" w:ascii="宋体" w:hAnsi="宋体"/>
          <w:b/>
          <w:sz w:val="30"/>
          <w:szCs w:val="30"/>
          <w:lang w:val="en-US" w:eastAsia="zh-CN"/>
        </w:rPr>
        <w:t>拟用采购方式及评审方法：</w:t>
      </w:r>
      <w:r>
        <w:rPr>
          <w:rFonts w:hint="eastAsia" w:ascii="仿宋" w:hAnsi="仿宋" w:eastAsia="仿宋" w:cs="仿宋"/>
          <w:b/>
          <w:bCs/>
          <w:sz w:val="30"/>
          <w:szCs w:val="30"/>
          <w:lang w:val="en-US" w:eastAsia="zh-CN"/>
        </w:rPr>
        <w:t>综合评分法</w:t>
      </w:r>
    </w:p>
    <w:bookmarkEnd w:id="0"/>
    <w:p>
      <w:pPr>
        <w:numPr>
          <w:ilvl w:val="0"/>
          <w:numId w:val="0"/>
        </w:numPr>
        <w:ind w:leftChars="0"/>
        <w:rPr>
          <w:rFonts w:hint="default" w:ascii="宋体" w:hAnsi="宋体"/>
          <w:b/>
          <w:sz w:val="28"/>
          <w:szCs w:val="28"/>
          <w:lang w:val="en-US" w:eastAsia="zh-CN"/>
        </w:rPr>
      </w:pPr>
      <w:r>
        <w:rPr>
          <w:rFonts w:hint="eastAsia" w:ascii="宋体" w:hAnsi="宋体"/>
          <w:b/>
          <w:sz w:val="28"/>
          <w:szCs w:val="28"/>
          <w:lang w:val="en-US" w:eastAsia="zh-CN"/>
        </w:rPr>
        <w:t>四、技术规格</w:t>
      </w:r>
    </w:p>
    <w:p>
      <w:pPr>
        <w:numPr>
          <w:ilvl w:val="0"/>
          <w:numId w:val="0"/>
        </w:numPr>
        <w:ind w:leftChars="0"/>
        <w:rPr>
          <w:rFonts w:hint="eastAsia" w:ascii="宋体" w:hAnsi="宋体"/>
          <w:b/>
          <w:sz w:val="28"/>
          <w:szCs w:val="28"/>
          <w:lang w:eastAsia="zh-CN"/>
        </w:rPr>
      </w:pPr>
      <w:r>
        <w:rPr>
          <w:rFonts w:hint="eastAsia" w:ascii="宋体" w:hAnsi="宋体"/>
          <w:b/>
          <w:sz w:val="28"/>
          <w:szCs w:val="28"/>
          <w:lang w:val="en-US" w:eastAsia="zh-CN"/>
        </w:rPr>
        <w:t>1-1</w:t>
      </w:r>
      <w:r>
        <w:rPr>
          <w:rFonts w:hint="eastAsia" w:ascii="宋体" w:hAnsi="宋体"/>
          <w:b/>
          <w:sz w:val="36"/>
          <w:szCs w:val="28"/>
          <w:lang w:val="en-US" w:eastAsia="zh-CN"/>
        </w:rPr>
        <w:t>病房三网融合服务</w:t>
      </w:r>
      <w:r>
        <w:rPr>
          <w:rFonts w:hint="eastAsia" w:ascii="宋体" w:hAnsi="宋体"/>
          <w:b/>
          <w:sz w:val="28"/>
          <w:szCs w:val="28"/>
          <w:lang w:eastAsia="zh-CN"/>
        </w:rPr>
        <w:t>：</w:t>
      </w:r>
    </w:p>
    <w:p>
      <w:pPr>
        <w:pStyle w:val="2"/>
        <w:rPr>
          <w:rFonts w:hint="default"/>
          <w:lang w:val="en-US" w:eastAsia="zh-CN"/>
        </w:rPr>
      </w:pPr>
      <w:r>
        <w:rPr>
          <w:rFonts w:hint="eastAsia"/>
          <w:b/>
          <w:bCs/>
          <w:sz w:val="28"/>
          <w:szCs w:val="28"/>
          <w:highlight w:val="none"/>
          <w:lang w:eastAsia="zh-CN"/>
        </w:rPr>
        <w:t>★</w:t>
      </w:r>
      <w:r>
        <w:rPr>
          <w:rFonts w:hint="eastAsia"/>
          <w:b/>
          <w:bCs/>
          <w:sz w:val="28"/>
          <w:szCs w:val="28"/>
          <w:highlight w:val="none"/>
          <w:lang w:val="en-US" w:eastAsia="zh-CN"/>
        </w:rPr>
        <w:t>为实质性内容，必须满足项。</w:t>
      </w:r>
    </w:p>
    <w:p>
      <w:pPr>
        <w:rPr>
          <w:b/>
          <w:bCs/>
          <w:sz w:val="28"/>
          <w:szCs w:val="28"/>
          <w:highlight w:val="none"/>
        </w:rPr>
      </w:pPr>
      <w:r>
        <w:rPr>
          <w:rFonts w:hint="eastAsia"/>
          <w:b/>
          <w:bCs/>
          <w:sz w:val="28"/>
          <w:szCs w:val="28"/>
          <w:highlight w:val="none"/>
          <w:lang w:eastAsia="zh-CN"/>
        </w:rPr>
        <w:t>★</w:t>
      </w:r>
      <w:r>
        <w:rPr>
          <w:rFonts w:hint="eastAsia"/>
          <w:b/>
          <w:bCs/>
          <w:sz w:val="28"/>
          <w:szCs w:val="28"/>
          <w:highlight w:val="none"/>
        </w:rPr>
        <w:t>一、采购数量及内容</w:t>
      </w:r>
    </w:p>
    <w:p>
      <w:pPr>
        <w:ind w:firstLine="560" w:firstLineChars="200"/>
        <w:rPr>
          <w:sz w:val="28"/>
          <w:szCs w:val="28"/>
          <w:highlight w:val="none"/>
        </w:rPr>
      </w:pPr>
      <w:r>
        <w:rPr>
          <w:rFonts w:hint="eastAsia"/>
          <w:sz w:val="28"/>
          <w:szCs w:val="28"/>
          <w:highlight w:val="none"/>
        </w:rPr>
        <w:t>1、人民医院病房三网融合业务服务共</w:t>
      </w:r>
      <w:r>
        <w:rPr>
          <w:rFonts w:hint="eastAsia"/>
          <w:sz w:val="28"/>
          <w:szCs w:val="28"/>
          <w:highlight w:val="none"/>
          <w:lang w:val="en-US" w:eastAsia="zh-CN"/>
        </w:rPr>
        <w:t>400余</w:t>
      </w:r>
      <w:r>
        <w:rPr>
          <w:sz w:val="28"/>
          <w:szCs w:val="28"/>
          <w:highlight w:val="none"/>
        </w:rPr>
        <w:t>间</w:t>
      </w:r>
      <w:r>
        <w:rPr>
          <w:rFonts w:hint="eastAsia"/>
          <w:sz w:val="28"/>
          <w:szCs w:val="28"/>
          <w:highlight w:val="none"/>
          <w:lang w:eastAsia="zh-CN"/>
        </w:rPr>
        <w:t>（</w:t>
      </w:r>
      <w:r>
        <w:rPr>
          <w:rFonts w:hint="eastAsia"/>
          <w:sz w:val="28"/>
          <w:szCs w:val="28"/>
          <w:highlight w:val="none"/>
          <w:lang w:val="en-US" w:eastAsia="zh-CN"/>
        </w:rPr>
        <w:t>实际点位根据医院需求及时增减</w:t>
      </w:r>
      <w:r>
        <w:rPr>
          <w:rFonts w:hint="eastAsia"/>
          <w:sz w:val="28"/>
          <w:szCs w:val="28"/>
          <w:highlight w:val="none"/>
          <w:lang w:eastAsia="zh-CN"/>
        </w:rPr>
        <w:t>）</w:t>
      </w:r>
      <w:r>
        <w:rPr>
          <w:rFonts w:hint="eastAsia"/>
          <w:sz w:val="28"/>
          <w:szCs w:val="28"/>
          <w:highlight w:val="none"/>
        </w:rPr>
        <w:t>，供应商提供的接入服务按每房间单独光纤接入。</w:t>
      </w:r>
    </w:p>
    <w:p>
      <w:pPr>
        <w:ind w:firstLine="560" w:firstLineChars="200"/>
        <w:rPr>
          <w:sz w:val="28"/>
          <w:szCs w:val="28"/>
          <w:highlight w:val="none"/>
        </w:rPr>
      </w:pPr>
      <w:r>
        <w:rPr>
          <w:rFonts w:hint="eastAsia"/>
          <w:sz w:val="28"/>
          <w:szCs w:val="28"/>
          <w:highlight w:val="none"/>
        </w:rPr>
        <w:t>2、供应商提供的三网融合业务按房间提供服务，每个接入房间网点应提供有线宽带上网服务、WiFi服务、4K超清电视（IPTV）服务、固话服务的三网融合业务。</w:t>
      </w:r>
    </w:p>
    <w:p>
      <w:pPr>
        <w:ind w:firstLine="560" w:firstLineChars="200"/>
        <w:rPr>
          <w:rFonts w:hint="eastAsia"/>
          <w:sz w:val="28"/>
          <w:szCs w:val="28"/>
          <w:highlight w:val="none"/>
        </w:rPr>
      </w:pPr>
      <w:r>
        <w:rPr>
          <w:rFonts w:hint="eastAsia"/>
          <w:sz w:val="28"/>
          <w:szCs w:val="28"/>
          <w:highlight w:val="none"/>
        </w:rPr>
        <w:t>3、供应商提供的业务服务到院内的光交接入点、到各医院大楼楼的分光箱、入户皮线光纤等到各点的网络传输线路均由供应商提供，光纤与入户光纤存在故障由供应商负责修复。</w:t>
      </w:r>
    </w:p>
    <w:p>
      <w:pPr>
        <w:ind w:firstLine="560" w:firstLineChars="200"/>
        <w:rPr>
          <w:rFonts w:hint="eastAsia"/>
          <w:sz w:val="28"/>
          <w:szCs w:val="28"/>
          <w:highlight w:val="none"/>
        </w:rPr>
      </w:pPr>
      <w:r>
        <w:rPr>
          <w:rFonts w:hint="eastAsia"/>
          <w:sz w:val="28"/>
          <w:szCs w:val="28"/>
          <w:highlight w:val="none"/>
        </w:rPr>
        <w:t>4、光猫、机顶盒等设备及供应商到院内的一切满足业务需求的其它相关设备设施均由供应商提供。</w:t>
      </w:r>
    </w:p>
    <w:p>
      <w:pPr>
        <w:rPr>
          <w:b/>
          <w:bCs/>
          <w:sz w:val="28"/>
          <w:szCs w:val="28"/>
          <w:highlight w:val="none"/>
        </w:rPr>
      </w:pPr>
      <w:r>
        <w:rPr>
          <w:rFonts w:hint="eastAsia"/>
          <w:b/>
          <w:bCs/>
          <w:sz w:val="28"/>
          <w:szCs w:val="28"/>
          <w:highlight w:val="none"/>
        </w:rPr>
        <w:t>二、技术要求</w:t>
      </w:r>
    </w:p>
    <w:p>
      <w:pPr>
        <w:ind w:firstLine="560" w:firstLineChars="200"/>
        <w:rPr>
          <w:sz w:val="28"/>
          <w:szCs w:val="28"/>
          <w:highlight w:val="none"/>
        </w:rPr>
      </w:pPr>
      <w:r>
        <w:rPr>
          <w:rFonts w:hint="eastAsia"/>
          <w:sz w:val="28"/>
          <w:szCs w:val="28"/>
          <w:highlight w:val="none"/>
        </w:rPr>
        <w:t>1、提供至院内及各房间节点，两点间网络组网方案和所用设备选型。</w:t>
      </w:r>
    </w:p>
    <w:p>
      <w:pPr>
        <w:ind w:firstLine="560" w:firstLineChars="200"/>
        <w:rPr>
          <w:sz w:val="28"/>
          <w:szCs w:val="28"/>
          <w:highlight w:val="none"/>
        </w:rPr>
      </w:pPr>
      <w:r>
        <w:rPr>
          <w:rFonts w:hint="eastAsia"/>
          <w:sz w:val="28"/>
          <w:szCs w:val="28"/>
          <w:highlight w:val="none"/>
          <w:lang w:eastAsia="zh-CN"/>
        </w:rPr>
        <w:t>▲</w:t>
      </w:r>
      <w:r>
        <w:rPr>
          <w:rFonts w:hint="eastAsia"/>
          <w:sz w:val="28"/>
          <w:szCs w:val="28"/>
          <w:highlight w:val="none"/>
        </w:rPr>
        <w:t>2、接入模式采用FTTH，供应商提供的宽带上网业务每户带宽不低于100M；为保障接入速率能满足服务要求，供应商需按照工业和信息化部印发的《互联网接入服务规范》中有线接入速率的应达标标准提供三个月之前不少于3</w:t>
      </w:r>
      <w:r>
        <w:rPr>
          <w:sz w:val="28"/>
          <w:szCs w:val="28"/>
          <w:highlight w:val="none"/>
        </w:rPr>
        <w:t>0个</w:t>
      </w:r>
      <w:r>
        <w:rPr>
          <w:rFonts w:hint="eastAsia"/>
          <w:sz w:val="28"/>
          <w:szCs w:val="28"/>
          <w:highlight w:val="none"/>
        </w:rPr>
        <w:t>类似业务的带宽交付测速数据，至少包括业务信息和时间、地点、测速结果的现场水印照片、用户签字这几类证明材料并加盖供应商鲜章。</w:t>
      </w:r>
    </w:p>
    <w:p>
      <w:pPr>
        <w:ind w:firstLine="560" w:firstLineChars="200"/>
        <w:rPr>
          <w:sz w:val="28"/>
          <w:szCs w:val="28"/>
          <w:highlight w:val="none"/>
        </w:rPr>
      </w:pPr>
      <w:r>
        <w:rPr>
          <w:rFonts w:hint="eastAsia"/>
          <w:sz w:val="28"/>
          <w:szCs w:val="28"/>
          <w:highlight w:val="none"/>
          <w:lang w:eastAsia="zh-CN"/>
        </w:rPr>
        <w:t>▲</w:t>
      </w:r>
      <w:r>
        <w:rPr>
          <w:sz w:val="28"/>
          <w:szCs w:val="28"/>
          <w:highlight w:val="none"/>
        </w:rPr>
        <w:t>3、为保障病房三网融合业务的可靠性，供应商提供的宽带、语音、</w:t>
      </w:r>
      <w:r>
        <w:rPr>
          <w:rFonts w:hint="eastAsia"/>
          <w:sz w:val="28"/>
          <w:szCs w:val="28"/>
          <w:highlight w:val="none"/>
        </w:rPr>
        <w:t>I</w:t>
      </w:r>
      <w:r>
        <w:rPr>
          <w:sz w:val="28"/>
          <w:szCs w:val="28"/>
          <w:highlight w:val="none"/>
        </w:rPr>
        <w:t>PTV、</w:t>
      </w:r>
      <w:r>
        <w:rPr>
          <w:rFonts w:hint="eastAsia"/>
          <w:sz w:val="28"/>
          <w:szCs w:val="28"/>
          <w:highlight w:val="none"/>
        </w:rPr>
        <w:t>W</w:t>
      </w:r>
      <w:r>
        <w:rPr>
          <w:sz w:val="28"/>
          <w:szCs w:val="28"/>
          <w:highlight w:val="none"/>
        </w:rPr>
        <w:t>IFI业务需</w:t>
      </w:r>
      <w:r>
        <w:rPr>
          <w:rFonts w:hint="eastAsia"/>
          <w:sz w:val="28"/>
          <w:szCs w:val="28"/>
          <w:highlight w:val="none"/>
        </w:rPr>
        <w:t>通过vlan隔离部署，提供相关设备部署的配置文件至少包括V</w:t>
      </w:r>
      <w:r>
        <w:rPr>
          <w:sz w:val="28"/>
          <w:szCs w:val="28"/>
          <w:highlight w:val="none"/>
        </w:rPr>
        <w:t>LAN配置信息、业务配置信息作为</w:t>
      </w:r>
      <w:r>
        <w:rPr>
          <w:rFonts w:hint="eastAsia"/>
          <w:sz w:val="28"/>
          <w:szCs w:val="28"/>
          <w:highlight w:val="none"/>
        </w:rPr>
        <w:t>证明材料并加盖供应商鲜章。</w:t>
      </w:r>
    </w:p>
    <w:p>
      <w:pPr>
        <w:ind w:firstLine="560" w:firstLineChars="200"/>
        <w:rPr>
          <w:sz w:val="28"/>
          <w:szCs w:val="28"/>
          <w:highlight w:val="none"/>
        </w:rPr>
      </w:pPr>
      <w:r>
        <w:rPr>
          <w:rFonts w:hint="eastAsia"/>
          <w:sz w:val="28"/>
          <w:szCs w:val="28"/>
          <w:highlight w:val="none"/>
          <w:lang w:eastAsia="zh-CN"/>
        </w:rPr>
        <w:t>▲</w:t>
      </w:r>
      <w:r>
        <w:rPr>
          <w:sz w:val="28"/>
          <w:szCs w:val="28"/>
          <w:highlight w:val="none"/>
        </w:rPr>
        <w:t>4</w:t>
      </w:r>
      <w:r>
        <w:rPr>
          <w:rFonts w:hint="eastAsia"/>
          <w:sz w:val="28"/>
          <w:szCs w:val="28"/>
          <w:highlight w:val="none"/>
        </w:rPr>
        <w:t>、为保障本次三网融合业务的完整性，供应商提供的三合一</w:t>
      </w:r>
      <w:r>
        <w:rPr>
          <w:sz w:val="28"/>
          <w:szCs w:val="28"/>
          <w:highlight w:val="none"/>
        </w:rPr>
        <w:t>光猫终端设备</w:t>
      </w:r>
      <w:r>
        <w:rPr>
          <w:rFonts w:hint="eastAsia"/>
          <w:sz w:val="28"/>
          <w:szCs w:val="28"/>
          <w:highlight w:val="none"/>
        </w:rPr>
        <w:t>应具备万兆光传输接入能力，设备应至少具备1个PON口、2个RJ45电口、1个RJ11固话接入口、1个HDMI音视频接口、1个USB接口、并提供WIFI功能，支持多SSID部署，供应商需提供服务产品的中国质量认证中心的认证、入网许可证等证明材料并加盖供应商鲜章。</w:t>
      </w:r>
    </w:p>
    <w:p>
      <w:pPr>
        <w:ind w:firstLine="560" w:firstLineChars="200"/>
        <w:rPr>
          <w:sz w:val="28"/>
          <w:szCs w:val="28"/>
          <w:highlight w:val="none"/>
        </w:rPr>
      </w:pPr>
      <w:r>
        <w:rPr>
          <w:sz w:val="28"/>
          <w:szCs w:val="28"/>
          <w:highlight w:val="none"/>
        </w:rPr>
        <w:t>5</w:t>
      </w:r>
      <w:r>
        <w:rPr>
          <w:rFonts w:hint="eastAsia"/>
          <w:sz w:val="28"/>
          <w:szCs w:val="28"/>
          <w:highlight w:val="none"/>
        </w:rPr>
        <w:t>、为保障本次三网融合W</w:t>
      </w:r>
      <w:r>
        <w:rPr>
          <w:sz w:val="28"/>
          <w:szCs w:val="28"/>
          <w:highlight w:val="none"/>
        </w:rPr>
        <w:t>IFI服务的安全性，供应商提供的</w:t>
      </w:r>
      <w:r>
        <w:rPr>
          <w:rFonts w:hint="eastAsia"/>
          <w:sz w:val="28"/>
          <w:szCs w:val="28"/>
          <w:highlight w:val="none"/>
        </w:rPr>
        <w:t>无线上网</w:t>
      </w:r>
      <w:r>
        <w:rPr>
          <w:sz w:val="28"/>
          <w:szCs w:val="28"/>
          <w:highlight w:val="none"/>
        </w:rPr>
        <w:t>服务需</w:t>
      </w:r>
      <w:r>
        <w:rPr>
          <w:rFonts w:hint="eastAsia"/>
          <w:sz w:val="28"/>
          <w:szCs w:val="28"/>
          <w:highlight w:val="none"/>
        </w:rPr>
        <w:t>符合公安网安安全认证审计的要求，供应商需提供公安部门的验收证明材料并加盖供应商鲜章。</w:t>
      </w:r>
    </w:p>
    <w:p>
      <w:pPr>
        <w:ind w:firstLine="560" w:firstLineChars="200"/>
        <w:rPr>
          <w:sz w:val="28"/>
          <w:szCs w:val="28"/>
          <w:highlight w:val="none"/>
        </w:rPr>
      </w:pPr>
      <w:r>
        <w:rPr>
          <w:rFonts w:hint="eastAsia"/>
          <w:sz w:val="28"/>
          <w:szCs w:val="28"/>
          <w:highlight w:val="none"/>
          <w:lang w:eastAsia="zh-CN"/>
        </w:rPr>
        <w:t>▲</w:t>
      </w:r>
      <w:r>
        <w:rPr>
          <w:sz w:val="28"/>
          <w:szCs w:val="28"/>
          <w:highlight w:val="none"/>
        </w:rPr>
        <w:t>6</w:t>
      </w:r>
      <w:r>
        <w:rPr>
          <w:rFonts w:hint="eastAsia"/>
          <w:sz w:val="28"/>
          <w:szCs w:val="28"/>
          <w:highlight w:val="none"/>
        </w:rPr>
        <w:t>、为保障本次服务的质量，供应商提供本次服务业务所涉及的网络交换设备需具备二层隔离功能、组播/广播/</w:t>
      </w:r>
      <w:r>
        <w:rPr>
          <w:sz w:val="28"/>
          <w:szCs w:val="28"/>
          <w:highlight w:val="none"/>
        </w:rPr>
        <w:t>DLF报文风暴移植功能、</w:t>
      </w:r>
      <w:r>
        <w:rPr>
          <w:rFonts w:hint="eastAsia"/>
          <w:sz w:val="28"/>
          <w:szCs w:val="28"/>
          <w:highlight w:val="none"/>
        </w:rPr>
        <w:t>V</w:t>
      </w:r>
      <w:r>
        <w:rPr>
          <w:sz w:val="28"/>
          <w:szCs w:val="28"/>
          <w:highlight w:val="none"/>
        </w:rPr>
        <w:t>LAN隔离功能、</w:t>
      </w:r>
      <w:r>
        <w:rPr>
          <w:rFonts w:hint="eastAsia"/>
          <w:sz w:val="28"/>
          <w:szCs w:val="28"/>
          <w:highlight w:val="none"/>
        </w:rPr>
        <w:t>防 DoS 攻击功能，供应商需提供上述功能合格的检验报告证明资料及入网许可证明并加盖供应商鲜章。</w:t>
      </w:r>
    </w:p>
    <w:p>
      <w:pPr>
        <w:ind w:firstLine="560" w:firstLineChars="200"/>
        <w:rPr>
          <w:rFonts w:hint="eastAsia"/>
          <w:sz w:val="28"/>
          <w:szCs w:val="28"/>
          <w:highlight w:val="none"/>
        </w:rPr>
      </w:pPr>
      <w:r>
        <w:rPr>
          <w:rFonts w:hint="eastAsia"/>
          <w:sz w:val="28"/>
          <w:szCs w:val="28"/>
          <w:highlight w:val="none"/>
          <w:lang w:eastAsia="zh-CN"/>
        </w:rPr>
        <w:t>▲</w:t>
      </w:r>
      <w:r>
        <w:rPr>
          <w:sz w:val="28"/>
          <w:szCs w:val="28"/>
          <w:highlight w:val="none"/>
        </w:rPr>
        <w:t>7</w:t>
      </w:r>
      <w:r>
        <w:rPr>
          <w:rFonts w:hint="eastAsia"/>
          <w:sz w:val="28"/>
          <w:szCs w:val="28"/>
          <w:highlight w:val="none"/>
        </w:rPr>
        <w:t>、为保障本次服务的质量，供应商需提供的三合一光终端机顶盒设备的设备彩页资料、入网许可证、产品质量认证证书并加盖供应商鲜章。</w:t>
      </w:r>
    </w:p>
    <w:p>
      <w:pPr>
        <w:rPr>
          <w:b/>
          <w:bCs/>
          <w:sz w:val="28"/>
          <w:szCs w:val="28"/>
          <w:highlight w:val="none"/>
        </w:rPr>
      </w:pPr>
      <w:r>
        <w:rPr>
          <w:rFonts w:hint="eastAsia"/>
          <w:b/>
          <w:bCs/>
          <w:sz w:val="28"/>
          <w:szCs w:val="28"/>
          <w:highlight w:val="none"/>
          <w:lang w:eastAsia="zh-CN"/>
        </w:rPr>
        <w:t>★</w:t>
      </w:r>
      <w:r>
        <w:rPr>
          <w:rFonts w:hint="eastAsia"/>
          <w:b/>
          <w:bCs/>
          <w:sz w:val="28"/>
          <w:szCs w:val="28"/>
          <w:highlight w:val="none"/>
        </w:rPr>
        <w:t>三、服务要求</w:t>
      </w:r>
    </w:p>
    <w:p>
      <w:pPr>
        <w:ind w:firstLine="560" w:firstLineChars="200"/>
        <w:rPr>
          <w:rFonts w:hint="eastAsia"/>
          <w:sz w:val="28"/>
          <w:szCs w:val="28"/>
          <w:highlight w:val="none"/>
        </w:rPr>
      </w:pPr>
      <w:r>
        <w:rPr>
          <w:rFonts w:hint="eastAsia"/>
          <w:sz w:val="28"/>
          <w:szCs w:val="28"/>
          <w:highlight w:val="none"/>
        </w:rPr>
        <w:t>1、供应商应为每个房间提供带WIFI功能的三合一光猫一个。用户在网期间，三合一光猫的售后维护及产权归属乙方。</w:t>
      </w:r>
    </w:p>
    <w:p>
      <w:pPr>
        <w:ind w:firstLine="560" w:firstLineChars="200"/>
        <w:rPr>
          <w:sz w:val="28"/>
          <w:szCs w:val="28"/>
          <w:highlight w:val="none"/>
        </w:rPr>
      </w:pPr>
      <w:r>
        <w:rPr>
          <w:rFonts w:hint="eastAsia"/>
          <w:sz w:val="28"/>
          <w:szCs w:val="28"/>
          <w:highlight w:val="none"/>
        </w:rPr>
        <w:t>2、供应商应在</w:t>
      </w:r>
      <w:r>
        <w:rPr>
          <w:sz w:val="28"/>
          <w:szCs w:val="28"/>
          <w:highlight w:val="none"/>
        </w:rPr>
        <w:t>中标后</w:t>
      </w:r>
      <w:r>
        <w:rPr>
          <w:rFonts w:hint="eastAsia"/>
          <w:sz w:val="28"/>
          <w:szCs w:val="28"/>
          <w:highlight w:val="none"/>
        </w:rPr>
        <w:t>3</w:t>
      </w:r>
      <w:r>
        <w:rPr>
          <w:sz w:val="28"/>
          <w:szCs w:val="28"/>
          <w:highlight w:val="none"/>
        </w:rPr>
        <w:t>0日内</w:t>
      </w:r>
      <w:r>
        <w:rPr>
          <w:rFonts w:hint="eastAsia"/>
          <w:sz w:val="28"/>
          <w:szCs w:val="28"/>
          <w:highlight w:val="none"/>
        </w:rPr>
        <w:t>，完成设备采购和相关建设工作，并交付服务。</w:t>
      </w:r>
    </w:p>
    <w:p>
      <w:pPr>
        <w:ind w:firstLine="560" w:firstLineChars="200"/>
        <w:rPr>
          <w:rFonts w:hint="eastAsia"/>
          <w:sz w:val="28"/>
          <w:szCs w:val="28"/>
          <w:highlight w:val="none"/>
        </w:rPr>
      </w:pPr>
      <w:r>
        <w:rPr>
          <w:rFonts w:hint="eastAsia"/>
          <w:sz w:val="28"/>
          <w:szCs w:val="28"/>
          <w:highlight w:val="none"/>
        </w:rPr>
        <w:t>3、供应商需提供驻地级服务，维护响应时间小于30分钟，障碍修复小于8小时，提供7x24小时不间断监控和一点支撑服务。</w:t>
      </w:r>
    </w:p>
    <w:p>
      <w:pPr>
        <w:ind w:firstLine="560" w:firstLineChars="200"/>
        <w:rPr>
          <w:sz w:val="28"/>
          <w:szCs w:val="28"/>
          <w:highlight w:val="none"/>
        </w:rPr>
      </w:pPr>
      <w:r>
        <w:rPr>
          <w:sz w:val="28"/>
          <w:szCs w:val="28"/>
          <w:highlight w:val="none"/>
        </w:rPr>
        <w:t>4</w:t>
      </w:r>
      <w:r>
        <w:rPr>
          <w:rFonts w:hint="eastAsia"/>
          <w:sz w:val="28"/>
          <w:szCs w:val="28"/>
          <w:highlight w:val="none"/>
        </w:rPr>
        <w:t>、验收，项目交付时，按照工业和信息化部印发的《互联网接入服务规范》作为验收标准，抽查不少于3</w:t>
      </w:r>
      <w:r>
        <w:rPr>
          <w:sz w:val="28"/>
          <w:szCs w:val="28"/>
          <w:highlight w:val="none"/>
        </w:rPr>
        <w:t>0户的符合</w:t>
      </w:r>
      <w:r>
        <w:rPr>
          <w:rFonts w:hint="eastAsia"/>
          <w:sz w:val="28"/>
          <w:szCs w:val="28"/>
          <w:highlight w:val="none"/>
        </w:rPr>
        <w:t>有线接入速率标准</w:t>
      </w:r>
      <w:r>
        <w:rPr>
          <w:sz w:val="28"/>
          <w:szCs w:val="28"/>
          <w:highlight w:val="none"/>
        </w:rPr>
        <w:t>的带宽测速报告，进行交付验收。</w:t>
      </w:r>
    </w:p>
    <w:p>
      <w:pPr>
        <w:numPr>
          <w:ilvl w:val="0"/>
          <w:numId w:val="0"/>
        </w:numPr>
        <w:ind w:leftChars="0"/>
        <w:rPr>
          <w:rFonts w:hint="default" w:ascii="宋体" w:hAnsi="宋体"/>
          <w:b/>
          <w:sz w:val="36"/>
          <w:szCs w:val="28"/>
          <w:lang w:val="en-US" w:eastAsia="zh-CN"/>
        </w:rPr>
      </w:pPr>
      <w:r>
        <w:rPr>
          <w:rFonts w:hint="eastAsia" w:ascii="宋体" w:hAnsi="宋体"/>
          <w:b/>
          <w:sz w:val="36"/>
          <w:szCs w:val="28"/>
          <w:lang w:val="en-US" w:eastAsia="zh-CN"/>
        </w:rPr>
        <w:t>评分细则</w:t>
      </w:r>
    </w:p>
    <w:tbl>
      <w:tblPr>
        <w:tblStyle w:val="6"/>
        <w:tblW w:w="5000" w:type="pct"/>
        <w:tblInd w:w="0" w:type="dxa"/>
        <w:tblLayout w:type="autofit"/>
        <w:tblCellMar>
          <w:top w:w="0" w:type="dxa"/>
          <w:left w:w="108" w:type="dxa"/>
          <w:bottom w:w="0" w:type="dxa"/>
          <w:right w:w="108" w:type="dxa"/>
        </w:tblCellMar>
      </w:tblPr>
      <w:tblGrid>
        <w:gridCol w:w="396"/>
        <w:gridCol w:w="570"/>
        <w:gridCol w:w="557"/>
        <w:gridCol w:w="682"/>
        <w:gridCol w:w="5621"/>
        <w:gridCol w:w="696"/>
      </w:tblGrid>
      <w:tr>
        <w:tblPrEx>
          <w:tblCellMar>
            <w:top w:w="0" w:type="dxa"/>
            <w:left w:w="108" w:type="dxa"/>
            <w:bottom w:w="0" w:type="dxa"/>
            <w:right w:w="108" w:type="dxa"/>
          </w:tblCellMar>
        </w:tblPrEx>
        <w:trPr>
          <w:trHeight w:val="213" w:hRule="atLeast"/>
        </w:trPr>
        <w:tc>
          <w:tcPr>
            <w:tcW w:w="23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序号</w:t>
            </w:r>
          </w:p>
        </w:tc>
        <w:tc>
          <w:tcPr>
            <w:tcW w:w="4767" w:type="pct"/>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评分标准</w:t>
            </w:r>
          </w:p>
        </w:tc>
      </w:tr>
      <w:tr>
        <w:tblPrEx>
          <w:tblCellMar>
            <w:top w:w="0" w:type="dxa"/>
            <w:left w:w="108" w:type="dxa"/>
            <w:bottom w:w="0" w:type="dxa"/>
            <w:right w:w="108" w:type="dxa"/>
          </w:tblCellMar>
        </w:tblPrEx>
        <w:trPr>
          <w:trHeight w:val="213" w:hRule="atLeast"/>
        </w:trPr>
        <w:tc>
          <w:tcPr>
            <w:tcW w:w="2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highlight w:val="none"/>
              </w:rPr>
            </w:pPr>
          </w:p>
        </w:tc>
        <w:tc>
          <w:tcPr>
            <w:tcW w:w="33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类别</w:t>
            </w:r>
          </w:p>
        </w:tc>
        <w:tc>
          <w:tcPr>
            <w:tcW w:w="32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评分因素</w:t>
            </w:r>
          </w:p>
        </w:tc>
        <w:tc>
          <w:tcPr>
            <w:tcW w:w="40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分值</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评分细则</w:t>
            </w:r>
          </w:p>
        </w:tc>
        <w:tc>
          <w:tcPr>
            <w:tcW w:w="40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说明</w:t>
            </w:r>
          </w:p>
        </w:tc>
      </w:tr>
      <w:tr>
        <w:tblPrEx>
          <w:tblCellMar>
            <w:top w:w="0" w:type="dxa"/>
            <w:left w:w="108" w:type="dxa"/>
            <w:bottom w:w="0" w:type="dxa"/>
            <w:right w:w="108" w:type="dxa"/>
          </w:tblCellMar>
        </w:tblPrEx>
        <w:trPr>
          <w:trHeight w:val="426" w:hRule="atLeast"/>
        </w:trPr>
        <w:tc>
          <w:tcPr>
            <w:tcW w:w="232" w:type="pct"/>
            <w:tcBorders>
              <w:top w:val="nil"/>
              <w:left w:val="single" w:color="auto" w:sz="4" w:space="0"/>
              <w:bottom w:val="nil"/>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35" w:type="pct"/>
            <w:tcBorders>
              <w:top w:val="nil"/>
              <w:left w:val="nil"/>
              <w:bottom w:val="nil"/>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价格部分</w:t>
            </w:r>
          </w:p>
        </w:tc>
        <w:tc>
          <w:tcPr>
            <w:tcW w:w="327" w:type="pct"/>
            <w:tcBorders>
              <w:top w:val="nil"/>
              <w:left w:val="nil"/>
              <w:bottom w:val="nil"/>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报价</w:t>
            </w:r>
          </w:p>
        </w:tc>
        <w:tc>
          <w:tcPr>
            <w:tcW w:w="400" w:type="pct"/>
            <w:tcBorders>
              <w:top w:val="nil"/>
              <w:left w:val="nil"/>
              <w:bottom w:val="nil"/>
              <w:right w:val="single" w:color="auto" w:sz="4" w:space="0"/>
            </w:tcBorders>
            <w:noWrap/>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以投标人有效报价的最低价为评标基准价，报价得分=基准价/报价*</w:t>
            </w:r>
            <w:r>
              <w:rPr>
                <w:rFonts w:hint="eastAsia" w:ascii="宋体" w:hAnsi="宋体" w:cs="宋体"/>
                <w:color w:val="000000"/>
                <w:kern w:val="0"/>
                <w:sz w:val="18"/>
                <w:szCs w:val="18"/>
                <w:highlight w:val="none"/>
                <w:lang w:val="en-US" w:eastAsia="zh-CN"/>
              </w:rPr>
              <w:t>15</w:t>
            </w:r>
            <w:r>
              <w:rPr>
                <w:rFonts w:hint="eastAsia" w:ascii="宋体" w:hAnsi="宋体" w:cs="宋体"/>
                <w:color w:val="000000"/>
                <w:kern w:val="0"/>
                <w:sz w:val="18"/>
                <w:szCs w:val="18"/>
                <w:highlight w:val="none"/>
              </w:rPr>
              <w:t>。</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lang w:val="en-US" w:eastAsia="zh-CN"/>
              </w:rPr>
              <w:t>报价为每月每个点位的报价</w:t>
            </w:r>
            <w:r>
              <w:rPr>
                <w:rFonts w:hint="eastAsia" w:ascii="宋体" w:hAnsi="宋体" w:cs="宋体"/>
                <w:color w:val="000000"/>
                <w:kern w:val="0"/>
                <w:sz w:val="18"/>
                <w:szCs w:val="18"/>
                <w:highlight w:val="none"/>
                <w:lang w:eastAsia="zh-CN"/>
              </w:rPr>
              <w:t>）</w:t>
            </w:r>
          </w:p>
        </w:tc>
        <w:tc>
          <w:tcPr>
            <w:tcW w:w="407" w:type="pct"/>
            <w:tcBorders>
              <w:top w:val="nil"/>
              <w:left w:val="nil"/>
              <w:bottom w:val="nil"/>
              <w:right w:val="single" w:color="auto" w:sz="4" w:space="0"/>
            </w:tcBorders>
            <w:noWrap/>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2380" w:hRule="atLeast"/>
        </w:trPr>
        <w:tc>
          <w:tcPr>
            <w:tcW w:w="2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33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基础资质服务能力</w:t>
            </w:r>
          </w:p>
        </w:tc>
        <w:tc>
          <w:tcPr>
            <w:tcW w:w="327"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网络及服务资质能力</w:t>
            </w:r>
          </w:p>
        </w:tc>
        <w:tc>
          <w:tcPr>
            <w:tcW w:w="400"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highlight w:val="none"/>
              </w:rPr>
            </w:pPr>
            <w:r>
              <w:rPr>
                <w:rFonts w:hint="eastAsia" w:ascii="宋体" w:hAnsi="宋体" w:cs="宋体"/>
                <w:kern w:val="0"/>
                <w:sz w:val="18"/>
                <w:szCs w:val="18"/>
                <w:highlight w:val="none"/>
              </w:rPr>
              <w:t>为了保证本项目系统网络传输质量、资源能力、稳定可靠可用，供应商的网络服务能力：</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1、供应商具有本地基础通信网络资源和经营许可的，提供基础电信业务经营许可证的得1分，（供应商提供基础电信业务经营许可证并加盖供应商鲜章）；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供应商获得过中国质量协会认定的“用户满意企业”AA级评价的得4分，A级评价的得2分；未获得的得0分。（供应商需提供中国质量协会全国市场质量信用A等（用户满意）企业名单公示证明材料和“全国用户满意企业信用服务平台”网站的公示证明材料，加盖供应商鲜章）。</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供应商具备充裕的IP地址数提供能力：按照中国互联网信息中心CNNIC《中国互联网络发展状况统计报告》附表2中的IPV4地址数量对供应商进行排名，第一得4分，第二得2分，第三得1分,其余不得分。（须提供中国互联网络信息中心CNNIC《中国互联网发展状况统计报告》关于IP地址的最近一期报告截图并加供应商鲜章）。</w:t>
            </w:r>
          </w:p>
        </w:tc>
        <w:tc>
          <w:tcPr>
            <w:tcW w:w="407"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2668" w:hRule="atLeast"/>
        </w:trPr>
        <w:tc>
          <w:tcPr>
            <w:tcW w:w="23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3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highlight w:val="none"/>
              </w:rPr>
            </w:pPr>
          </w:p>
        </w:tc>
        <w:tc>
          <w:tcPr>
            <w:tcW w:w="32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信息网络传播视听能力</w:t>
            </w:r>
          </w:p>
        </w:tc>
        <w:tc>
          <w:tcPr>
            <w:tcW w:w="400"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为保障本项目系统的IPTV服务质量、流畅性、安全性，供应商的信息网络传播视听服务能力：</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1、供应商具有四川/绵阳区域的信息网络传播视听节目许可的，提供信息网络传播视听节目许可证的得1分，（供应商提供信息网络传播视听节目许可证并加盖供应商鲜章）；</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2、为保障IPTV信息视听传播信息系统能够安全、稳定、可靠的提供服务，投标人所提供的服务需具备：</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（1）在本项目服务区域内自有机房环境能力，供应商需提供自有机房产权证明材料并加盖供应商鲜章，提供的得2分，不提供的不得分；</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（2）在本项目服务区域内自有机房安全等保能力，供应商需提供符合公安部三级等保要求的证明材料并加盖供应商鲜章，提供的得2分，不提供的不得分；</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3、为保障IPTV业务和网络系统的安全可控和服务质量，供应商所提供的网络服务具备流量牵引调度控制系统、域名快速修正系统、内网攻击检测、CDN、出口数据审计、网络流量态势感知这些方面的能力，提供相关产品的软著证明材料加盖供应商鲜章，每有1个上述证明资料得1分，最高6分；</w:t>
            </w:r>
          </w:p>
        </w:tc>
        <w:tc>
          <w:tcPr>
            <w:tcW w:w="40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2016" w:hRule="atLeast"/>
        </w:trPr>
        <w:tc>
          <w:tcPr>
            <w:tcW w:w="23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33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安全资质服务能力</w:t>
            </w:r>
          </w:p>
        </w:tc>
        <w:tc>
          <w:tcPr>
            <w:tcW w:w="32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安全服务能力</w:t>
            </w:r>
          </w:p>
        </w:tc>
        <w:tc>
          <w:tcPr>
            <w:tcW w:w="400"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为保障本次服务网络的安全使用，供应商需具有网络安全防护能力：</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（1）具备1TB-2TB清洗能力的得</w:t>
            </w:r>
            <w:r>
              <w:rPr>
                <w:rFonts w:hint="eastAsia" w:ascii="宋体" w:hAnsi="宋体" w:cs="宋体"/>
                <w:color w:val="000000"/>
                <w:kern w:val="0"/>
                <w:sz w:val="18"/>
                <w:szCs w:val="18"/>
                <w:highlight w:val="none"/>
                <w:lang w:val="en-US" w:eastAsia="zh-CN"/>
              </w:rPr>
              <w:t>3</w:t>
            </w:r>
            <w:r>
              <w:rPr>
                <w:rFonts w:hint="eastAsia" w:ascii="宋体" w:hAnsi="宋体" w:cs="宋体"/>
                <w:color w:val="000000"/>
                <w:kern w:val="0"/>
                <w:sz w:val="18"/>
                <w:szCs w:val="18"/>
                <w:highlight w:val="none"/>
              </w:rPr>
              <w:t>分，具备2TB及以上清洗能力的得</w:t>
            </w:r>
            <w:r>
              <w:rPr>
                <w:rFonts w:hint="eastAsia" w:ascii="宋体" w:hAnsi="宋体" w:cs="宋体"/>
                <w:color w:val="000000"/>
                <w:kern w:val="0"/>
                <w:sz w:val="18"/>
                <w:szCs w:val="18"/>
                <w:highlight w:val="none"/>
                <w:lang w:val="en-US" w:eastAsia="zh-CN"/>
              </w:rPr>
              <w:t>5</w:t>
            </w:r>
            <w:r>
              <w:rPr>
                <w:rFonts w:hint="eastAsia" w:ascii="宋体" w:hAnsi="宋体" w:cs="宋体"/>
                <w:color w:val="000000"/>
                <w:kern w:val="0"/>
                <w:sz w:val="18"/>
                <w:szCs w:val="18"/>
                <w:highlight w:val="none"/>
              </w:rPr>
              <w:t>分，其余不得分(提供第三方检测机构出具的检测报告和提供投标人产品官网证明材料加盖供应商鲜章）；</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2）具备和安全防护相关的域名防护、流量压制、流量牵引、钓鱼防护、身份溯源、大规模DDOS攻击防御能力，每有1项得1分，最多得6分，不提供的不得分（需提供软件著作权证书或专利证书证明复印件加盖供应商签章）。</w:t>
            </w:r>
            <w:r>
              <w:rPr>
                <w:rFonts w:hint="eastAsia" w:ascii="宋体" w:hAnsi="宋体" w:cs="宋体"/>
                <w:color w:val="000000"/>
                <w:kern w:val="0"/>
                <w:sz w:val="18"/>
                <w:szCs w:val="18"/>
                <w:highlight w:val="none"/>
              </w:rPr>
              <w:br w:type="textWrapping"/>
            </w:r>
          </w:p>
        </w:tc>
        <w:tc>
          <w:tcPr>
            <w:tcW w:w="40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1603" w:hRule="atLeast"/>
        </w:trPr>
        <w:tc>
          <w:tcPr>
            <w:tcW w:w="23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w:t>
            </w:r>
          </w:p>
        </w:tc>
        <w:tc>
          <w:tcPr>
            <w:tcW w:w="33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案例成熟度部分</w:t>
            </w:r>
          </w:p>
        </w:tc>
        <w:tc>
          <w:tcPr>
            <w:tcW w:w="32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产品应用成熟度</w:t>
            </w:r>
          </w:p>
        </w:tc>
        <w:tc>
          <w:tcPr>
            <w:tcW w:w="40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为有效参照同类项目服务的质量和成熟度，保障本项目服务质量：</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 xml:space="preserve">1、供应商需提供本项目服务区域内近两年同一客户签约数量1000户及以上的融合宽带项目案例及合同关键信息页，包括签约数量、服务内容等，提供合同证明复印件加盖供应商签章，每提供一个得3分，最多得3分，未提供的不得分。 </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2、供应商需提供本项目服务区域内近两年同一客户签约数量100户及以上的融合宽带项目案例及合同关键信息页，包括签约数量、服务内容等，提供合同证明复印件加盖供应商签章，每提供一个得1分，最多得2分，未提供的不得分。</w:t>
            </w:r>
          </w:p>
        </w:tc>
        <w:tc>
          <w:tcPr>
            <w:tcW w:w="40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652" w:hRule="atLeast"/>
        </w:trPr>
        <w:tc>
          <w:tcPr>
            <w:tcW w:w="23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w:t>
            </w:r>
          </w:p>
        </w:tc>
        <w:tc>
          <w:tcPr>
            <w:tcW w:w="335"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技术实施部分</w:t>
            </w:r>
          </w:p>
        </w:tc>
        <w:tc>
          <w:tcPr>
            <w:tcW w:w="32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关键技术服务响应</w:t>
            </w:r>
          </w:p>
        </w:tc>
        <w:tc>
          <w:tcPr>
            <w:tcW w:w="40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w:t>
            </w:r>
            <w:r>
              <w:rPr>
                <w:rFonts w:hint="eastAsia" w:ascii="宋体" w:hAnsi="宋体" w:cs="宋体"/>
                <w:color w:val="000000"/>
                <w:kern w:val="0"/>
                <w:sz w:val="18"/>
                <w:szCs w:val="18"/>
                <w:highlight w:val="none"/>
                <w:lang w:val="en-US" w:eastAsia="zh-CN"/>
              </w:rPr>
              <w:t>7</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根据技术服务要求项进行偏离表应答，并提供相应的证明材料，完全满足招标文件要求得</w:t>
            </w:r>
            <w:r>
              <w:rPr>
                <w:rFonts w:hint="eastAsia" w:ascii="宋体" w:hAnsi="宋体" w:cs="宋体"/>
                <w:color w:val="000000"/>
                <w:kern w:val="0"/>
                <w:sz w:val="18"/>
                <w:szCs w:val="18"/>
                <w:highlight w:val="none"/>
                <w:lang w:val="en-US" w:eastAsia="zh-CN"/>
              </w:rPr>
              <w:t>27</w:t>
            </w:r>
            <w:r>
              <w:rPr>
                <w:rFonts w:hint="eastAsia" w:ascii="宋体" w:hAnsi="宋体" w:cs="宋体"/>
                <w:color w:val="000000"/>
                <w:kern w:val="0"/>
                <w:sz w:val="18"/>
                <w:szCs w:val="18"/>
                <w:highlight w:val="none"/>
              </w:rPr>
              <w:t>分，每出现一项加“</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”不满足的扣</w:t>
            </w:r>
            <w:r>
              <w:rPr>
                <w:rFonts w:hint="eastAsia" w:ascii="宋体" w:hAnsi="宋体" w:cs="宋体"/>
                <w:color w:val="000000"/>
                <w:kern w:val="0"/>
                <w:sz w:val="18"/>
                <w:szCs w:val="18"/>
                <w:highlight w:val="none"/>
                <w:lang w:val="en-US" w:eastAsia="zh-CN"/>
              </w:rPr>
              <w:t>5</w:t>
            </w:r>
            <w:r>
              <w:rPr>
                <w:rFonts w:hint="eastAsia" w:ascii="宋体" w:hAnsi="宋体" w:cs="宋体"/>
                <w:color w:val="000000"/>
                <w:kern w:val="0"/>
                <w:sz w:val="18"/>
                <w:szCs w:val="18"/>
                <w:highlight w:val="none"/>
              </w:rPr>
              <w:t>分，其他不满足扣</w:t>
            </w:r>
            <w:r>
              <w:rPr>
                <w:rFonts w:hint="eastAsia" w:ascii="宋体" w:hAnsi="宋体" w:cs="宋体"/>
                <w:color w:val="000000"/>
                <w:kern w:val="0"/>
                <w:sz w:val="18"/>
                <w:szCs w:val="18"/>
                <w:highlight w:val="none"/>
                <w:lang w:val="en-US" w:eastAsia="zh-CN"/>
              </w:rPr>
              <w:t>1</w:t>
            </w:r>
            <w:r>
              <w:rPr>
                <w:rFonts w:hint="eastAsia" w:ascii="宋体" w:hAnsi="宋体" w:cs="宋体"/>
                <w:color w:val="000000"/>
                <w:kern w:val="0"/>
                <w:sz w:val="18"/>
                <w:szCs w:val="18"/>
                <w:highlight w:val="none"/>
              </w:rPr>
              <w:t>分，扣完为止。</w:t>
            </w:r>
          </w:p>
        </w:tc>
        <w:tc>
          <w:tcPr>
            <w:tcW w:w="407" w:type="pct"/>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652" w:hRule="atLeast"/>
        </w:trPr>
        <w:tc>
          <w:tcPr>
            <w:tcW w:w="23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w:t>
            </w:r>
          </w:p>
        </w:tc>
        <w:tc>
          <w:tcPr>
            <w:tcW w:w="33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highlight w:val="none"/>
              </w:rPr>
            </w:pPr>
          </w:p>
        </w:tc>
        <w:tc>
          <w:tcPr>
            <w:tcW w:w="32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技术方案</w:t>
            </w:r>
          </w:p>
        </w:tc>
        <w:tc>
          <w:tcPr>
            <w:tcW w:w="400"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根据项目技术方案的合理、安全严密、前瞻性进行评价，根据方案描述综合打分，包括：项目理解、业务场景、建设方案、系统设计、部署方案、系统技术、性能、安全等方面，优得8-6分，良得5-3分，一般得2-1分，差得0分，未提供不得分。</w:t>
            </w:r>
          </w:p>
        </w:tc>
        <w:tc>
          <w:tcPr>
            <w:tcW w:w="407" w:type="pct"/>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5786" w:hRule="atLeast"/>
        </w:trPr>
        <w:tc>
          <w:tcPr>
            <w:tcW w:w="23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w:t>
            </w:r>
          </w:p>
        </w:tc>
        <w:tc>
          <w:tcPr>
            <w:tcW w:w="335" w:type="pct"/>
            <w:tcBorders>
              <w:top w:val="nil"/>
              <w:left w:val="nil"/>
              <w:bottom w:val="nil"/>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售后服务部分</w:t>
            </w:r>
          </w:p>
        </w:tc>
        <w:tc>
          <w:tcPr>
            <w:tcW w:w="327" w:type="pct"/>
            <w:tcBorders>
              <w:top w:val="nil"/>
              <w:left w:val="nil"/>
              <w:bottom w:val="nil"/>
              <w:right w:val="single" w:color="auto" w:sz="4" w:space="0"/>
            </w:tcBorders>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服务方案及质量保障部分</w:t>
            </w:r>
          </w:p>
        </w:tc>
        <w:tc>
          <w:tcPr>
            <w:tcW w:w="400"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w:t>
            </w:r>
          </w:p>
        </w:tc>
        <w:tc>
          <w:tcPr>
            <w:tcW w:w="329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根据供应商提供的售后服务方案进行评审，提供的方案包含但不限于：服务体系、组织；服务内容、响应时间；服务人员、范围、方式；服务流程。按方案优质性进行评比，优得8-6分，良得5-3分，一般得2-1分，差得0分，未提供不得分。</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1、为保障项目服务的质量，所投服务的项目成员中具备PMP证书项目管理证书得2分，没有不得分；（2分）（供应商需提供应商本单位成员的PMP项目管理证书资质及社保工资证明材料加盖供应商鲜章）。</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2、为保障本次服务的质量，体现供应商在公共服务行业政风行风满意度评价，根据最近一年的江纪发通报的《公共服务行业政风行风满意度测评结果》对供应商进行排名，排名：第一名得4分，第二名得2分，第三名得1分,其余不得分。（需提供最近一年政府通报的公共服务行业政风行风满意度测评证明资料加盖供应商签章。）</w:t>
            </w:r>
          </w:p>
        </w:tc>
        <w:tc>
          <w:tcPr>
            <w:tcW w:w="407" w:type="pct"/>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AD20"/>
    <w:multiLevelType w:val="singleLevel"/>
    <w:tmpl w:val="0B65AD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MTg0NzQ0YmI2OTZjOGJlZGZkNTAzYjYzY2NiNWUifQ=="/>
  </w:docVars>
  <w:rsids>
    <w:rsidRoot w:val="60617A55"/>
    <w:rsid w:val="24E743D1"/>
    <w:rsid w:val="2715515C"/>
    <w:rsid w:val="51B84A80"/>
    <w:rsid w:val="60617A55"/>
    <w:rsid w:val="61A44975"/>
    <w:rsid w:val="63B33B7E"/>
    <w:rsid w:val="7776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5">
    <w:name w:val="annotation text"/>
    <w:basedOn w:val="1"/>
    <w:qFormat/>
    <w:uiPriority w:val="0"/>
    <w:pPr>
      <w:adjustRightInd w:val="0"/>
      <w:spacing w:line="360" w:lineRule="atLeast"/>
      <w:jc w:val="left"/>
      <w:textAlignment w:val="baseline"/>
    </w:pPr>
    <w:rPr>
      <w:kern w:val="0"/>
      <w:szCs w:val="20"/>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qFormat/>
    <w:uiPriority w:val="0"/>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3219</Words>
  <Characters>3354</Characters>
  <Lines>0</Lines>
  <Paragraphs>0</Paragraphs>
  <TotalTime>1</TotalTime>
  <ScaleCrop>false</ScaleCrop>
  <LinksUpToDate>false</LinksUpToDate>
  <CharactersWithSpaces>3366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2023-02-20T08:52:00Z</dcterms:created>
  <dc:creator>甯仁义</dc:creator>
  <cp:lastModifiedBy>Story</cp:lastModifiedBy>
  <dcterms:modified xsi:type="dcterms:W3CDTF">2023-04-25T10:12:17Z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9095FB1B4B0547E09145D4774999C18D</vt:lpwstr>
  </property>
</Properties>
</file>