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00" w:tblpY="3003"/>
        <w:tblOverlap w:val="never"/>
        <w:tblW w:w="97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835"/>
        <w:gridCol w:w="8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instrText xml:space="preserve">ADDIN CNKISM.UserStyle</w:instrTex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序号</w:t>
            </w:r>
          </w:p>
        </w:tc>
        <w:tc>
          <w:tcPr>
            <w:tcW w:w="8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设备名称</w:t>
            </w:r>
          </w:p>
        </w:tc>
        <w:tc>
          <w:tcPr>
            <w:tcW w:w="817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技术参数及资质要求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highlight w:val="none"/>
          <w:lang w:val="en-US" w:eastAsia="zh-CN"/>
        </w:rPr>
        <w:t>江油市人民医院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highlight w:val="none"/>
          <w:lang w:val="en-US" w:eastAsia="zh-CN"/>
        </w:rPr>
        <w:t>知网数据库服务内容</w:t>
      </w:r>
    </w:p>
    <w:p>
      <w:pPr>
        <w:autoSpaceDN w:val="0"/>
        <w:jc w:val="center"/>
        <w:textAlignment w:val="center"/>
        <w:rPr>
          <w:rFonts w:hint="eastAsia" w:ascii="宋体" w:hAnsi="宋体" w:eastAsia="宋体" w:cs="宋体"/>
          <w:sz w:val="24"/>
          <w:highlight w:val="none"/>
        </w:rPr>
      </w:pPr>
      <w:bookmarkStart w:id="0" w:name="_GoBack"/>
      <w:bookmarkEnd w:id="0"/>
    </w:p>
    <w:tbl>
      <w:tblPr>
        <w:tblStyle w:val="5"/>
        <w:tblW w:w="97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35"/>
        <w:gridCol w:w="8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医学期刊全文数据库</w:t>
            </w:r>
          </w:p>
        </w:tc>
        <w:tc>
          <w:tcPr>
            <w:tcW w:w="8178" w:type="dxa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内容要求：中国公开出版发行的医学及医学相关期刊（含英文版）全文文献，内容涵盖基础医学、临床医学、预防医学、中国医学、 药学、特种医学、生物科学、经营管理、图书情报、计算机及应用、医学教育与外语学习；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数量：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1500万篇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时间范围：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一年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数据更新：出版时效平均不迟于纸质期刊出版之后2个月，网络数据每日更新；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应具备在线浏览及本地下载全文功能；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此库应为“卫生部医药卫生科技项目查新使用数据库”；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提供智能检索、高级检索、专业检索、句子检索、主题词注释库等基本检索功能；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提供：主要主题、主题、分类、期刊年限、刊名、作者、第一作者、作者单位、题名、关键词、摘要、题名&amp;关键词&amp;摘要、全文等多种检索项，并支持模糊和精确检索；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网络版支持实质整合PubMed数据，实现中外文献一站式检索并统一分析；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网络版平台支持检索获取医学最新“网络首发”文献，方便用户快速发现最新文献；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网络版部分全文支持HTML阅读模式阅读全文；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提供参考文献、引证文献、共引文献、同被引文献等知网节链接，实现文献深度挖掘的重要功能；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检索结果提供按照不同作者、作者单位以及研究层次等3种以上分组方式，提供发表时间、下载频次、被引频次等不少于3种排序方式；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可实现对用户的访问和使用情况进行详细的记录，并进行统计分析。可按时间、用户、IP地址等方式进行统计分析；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导航体系：提供分类导航、知识导航与期刊导航；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该数据库文件阅读器为具有自主知识产权的阅读器，支持打开PDF文档，且实现文字复制粘贴功能，支持划词链接功能；；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具有医学专业主题分类智能系统统，须每年更新，与国际接轨，能提供MeSH20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年词汇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全力学术战“疫”、全新专业主题词、全方位揭示生物体信息、全球互联网医疗为服务特色，及全面系统知识结构展现的推进，能够充分满足且促进医药卫生系统专业人员及广大用户对专业术语、研究趋势、国际热点的认知、熟悉、掌握及应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6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医学博硕士学位论文全文数据库</w:t>
            </w:r>
          </w:p>
        </w:tc>
        <w:tc>
          <w:tcPr>
            <w:tcW w:w="8178" w:type="dxa"/>
          </w:tcPr>
          <w:p>
            <w:pPr>
              <w:numPr>
                <w:ilvl w:val="0"/>
                <w:numId w:val="3"/>
              </w:numPr>
              <w:ind w:left="20" w:leftChars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内容要求：集成整合我国的优秀博士、硕士学位论文和各类高等教育、医药卫生行业研究领域的创新性文献资源，内容涵盖基础医学、临床医学、预防医学、中国医学、 药学、特种医学、生物科学、经营管理、图书情报、医学教育；</w:t>
            </w:r>
          </w:p>
          <w:p>
            <w:pPr>
              <w:numPr>
                <w:ilvl w:val="0"/>
                <w:numId w:val="3"/>
              </w:numPr>
              <w:ind w:left="20" w:leftChars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数量：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80万篇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；</w:t>
            </w:r>
          </w:p>
          <w:p>
            <w:pPr>
              <w:numPr>
                <w:ilvl w:val="0"/>
                <w:numId w:val="3"/>
              </w:numPr>
              <w:ind w:left="20" w:leftChars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时间范围：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一年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；</w:t>
            </w:r>
          </w:p>
          <w:p>
            <w:pPr>
              <w:numPr>
                <w:ilvl w:val="0"/>
                <w:numId w:val="3"/>
              </w:numPr>
              <w:ind w:left="20" w:leftChars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数据更新：大多数论文出版不晚于授予学位之后2个月。网络数据每日更新；</w:t>
            </w:r>
          </w:p>
          <w:p>
            <w:pPr>
              <w:numPr>
                <w:ilvl w:val="0"/>
                <w:numId w:val="3"/>
              </w:numPr>
              <w:ind w:left="20" w:leftChars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应具备在线浏览及本地下载全文功能；</w:t>
            </w:r>
          </w:p>
          <w:p>
            <w:pPr>
              <w:numPr>
                <w:ilvl w:val="0"/>
                <w:numId w:val="3"/>
              </w:numPr>
              <w:ind w:left="20" w:leftChars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提供智能检索、高级检索、专业检索、句子检索、主题词注释库等基本检索功能；提供主要主题、主题、分类、篇名、关键词、摘要、作者、作者单位、目录、学位单位、全文、基金、论文级别等多种检索项；</w:t>
            </w:r>
          </w:p>
          <w:p>
            <w:pPr>
              <w:numPr>
                <w:ilvl w:val="0"/>
                <w:numId w:val="3"/>
              </w:numPr>
              <w:ind w:left="20" w:leftChars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提供参考文献、引证文献、共引文献、同行关注文献、相同导师文献、相关作者文献等功能；</w:t>
            </w:r>
          </w:p>
          <w:p>
            <w:pPr>
              <w:numPr>
                <w:ilvl w:val="0"/>
                <w:numId w:val="3"/>
              </w:numPr>
              <w:ind w:left="20" w:leftChars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可实现对用户的访问和使用情况进行详细的记录，并进行统计分析。可按时间、用户、IP地址等方式进行统计分析；</w:t>
            </w:r>
          </w:p>
          <w:p>
            <w:pPr>
              <w:numPr>
                <w:ilvl w:val="0"/>
                <w:numId w:val="3"/>
              </w:numPr>
              <w:ind w:left="20" w:leftChars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提供分章下载、整本下载、分页下载功能。</w:t>
            </w:r>
          </w:p>
          <w:p>
            <w:pPr>
              <w:numPr>
                <w:ilvl w:val="0"/>
                <w:numId w:val="3"/>
              </w:numPr>
              <w:ind w:left="20" w:leftChars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具有医学专业主题分类智能系统统，须每年更新，与国际接轨，能提供MeSH20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年词汇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全力学术战“疫”、全新专业主题词、全方位揭示生物体信息、全球互联网医疗为服务特色，及全面系统知识结构展现的推进，能够充分满足且促进医药卫生系统专业人员及广大用户对专业术语、研究趋势、国际热点的认知、熟悉、掌握及应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医学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国标行标数据库</w:t>
            </w:r>
          </w:p>
        </w:tc>
        <w:tc>
          <w:tcPr>
            <w:tcW w:w="8178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内容为医药相关国标行标；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实现标准的知网节集成，包括与该标准相关的最新文献、科技成果、专利等信息；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检索字段包括标准名称、标准号、出版单位、起草单位、中国标准分类号、国际标准分类号、主要起草人、发布单位、全文、发布日期、实施日期；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数量：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16000篇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时间范围：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一年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医学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科技成果全文数据库</w:t>
            </w:r>
          </w:p>
        </w:tc>
        <w:tc>
          <w:tcPr>
            <w:tcW w:w="8178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成果内容应包含医药相关科技成果；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收录专家组对该项成果的推广应用前景与措施、主要技术文件目录及来源、测试报告和鉴定意见等内容的鉴定数据；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检索字段包括成果名称、关键词、成果简介、学科分类号、成果完成人、第一完成单位、单位所在省市名称、合作完成单位、发表时间、成果应用行业、成果课题来源；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数量：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21万篇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时间范围：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一年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医学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专利全文数据库</w:t>
            </w:r>
          </w:p>
        </w:tc>
        <w:tc>
          <w:tcPr>
            <w:tcW w:w="8178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包含医药相关发明专利、实用新型专利、外观设计专利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实现专利知网节集成，包括与该专利相关的最新文献、科技成果、标准等信息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检索字段包括专利名称、摘要、全文、申请号、公开号、分类号、申请人、发明人、地址、专利代理机构、代理人、优先权、国省代码、国省名称、申请日、公开日；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数量：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232万篇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时间范围：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一年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；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FC0DD"/>
    <w:multiLevelType w:val="singleLevel"/>
    <w:tmpl w:val="03EFC0D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A9008BD"/>
    <w:multiLevelType w:val="singleLevel"/>
    <w:tmpl w:val="1A9008BD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2">
    <w:nsid w:val="3BD35D5B"/>
    <w:multiLevelType w:val="multilevel"/>
    <w:tmpl w:val="3BD35D5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CE7E41F"/>
    <w:multiLevelType w:val="singleLevel"/>
    <w:tmpl w:val="4CE7E41F"/>
    <w:lvl w:ilvl="0" w:tentative="0">
      <w:start w:val="1"/>
      <w:numFmt w:val="decimal"/>
      <w:suff w:val="nothing"/>
      <w:lvlText w:val="%1．"/>
      <w:lvlJc w:val="left"/>
      <w:pPr>
        <w:ind w:left="20" w:firstLine="400"/>
      </w:pPr>
      <w:rPr>
        <w:rFonts w:hint="default"/>
        <w:b w:val="0"/>
        <w:bCs w:val="0"/>
        <w:color w:va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YmVlMDBkZDgwZWUwZjkwMzM2ODUyZGJlZjQ3ZWUifQ=="/>
  </w:docVars>
  <w:rsids>
    <w:rsidRoot w:val="00000000"/>
    <w:rsid w:val="078E675B"/>
    <w:rsid w:val="1F7704EA"/>
    <w:rsid w:val="504026FD"/>
    <w:rsid w:val="787A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spacing w:before="260" w:after="260" w:line="413" w:lineRule="auto"/>
      <w:jc w:val="center"/>
      <w:outlineLvl w:val="1"/>
    </w:pPr>
    <w:rPr>
      <w:rFonts w:ascii="Arial" w:hAnsi="Arial" w:eastAsia="黑体"/>
      <w:b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80" w:lineRule="exact"/>
    </w:pPr>
    <w:rPr>
      <w:rFonts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1798</Words>
  <Characters>1835</Characters>
  <Lines>0</Lines>
  <Paragraphs>0</Paragraphs>
  <TotalTime>0</TotalTime>
  <ScaleCrop>false</ScaleCrop>
  <LinksUpToDate>false</LinksUpToDate>
  <CharactersWithSpaces>1837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2022-05-17T15:37:00Z</dcterms:created>
  <dc:creator>日月明</dc:creator>
  <cp:lastModifiedBy>虫虫</cp:lastModifiedBy>
  <dcterms:modified xsi:type="dcterms:W3CDTF">2022-05-19T06:37:03Z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DB6DF4E6391B42EBADA59CC32B2CE5FD</vt:lpwstr>
  </property>
</Properties>
</file>