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56"/>
        </w:rPr>
      </w:pPr>
    </w:p>
    <w:p>
      <w:pPr>
        <w:rPr>
          <w:sz w:val="48"/>
          <w:szCs w:val="56"/>
        </w:rPr>
      </w:pPr>
    </w:p>
    <w:p>
      <w:pPr>
        <w:rPr>
          <w:sz w:val="48"/>
          <w:szCs w:val="56"/>
        </w:rPr>
      </w:pPr>
    </w:p>
    <w:p>
      <w:pPr>
        <w:rPr>
          <w:rFonts w:hint="default" w:eastAsiaTheme="minorEastAsia"/>
          <w:sz w:val="48"/>
          <w:szCs w:val="56"/>
          <w:lang w:val="en-US" w:eastAsia="zh-CN"/>
        </w:rPr>
      </w:pPr>
      <w:r>
        <w:rPr>
          <w:rFonts w:hint="eastAsia"/>
          <w:sz w:val="48"/>
          <w:szCs w:val="56"/>
        </w:rPr>
        <w:t>项目名称：江油市人民医院住院</w:t>
      </w:r>
      <w:r>
        <w:rPr>
          <w:rFonts w:hint="eastAsia"/>
          <w:sz w:val="48"/>
          <w:szCs w:val="56"/>
          <w:lang w:val="en-US" w:eastAsia="zh-CN"/>
        </w:rPr>
        <w:t>部楼栋</w:t>
      </w:r>
      <w:r>
        <w:rPr>
          <w:rFonts w:hint="eastAsia"/>
          <w:sz w:val="48"/>
          <w:szCs w:val="56"/>
        </w:rPr>
        <w:t>疫情</w:t>
      </w:r>
      <w:r>
        <w:rPr>
          <w:rFonts w:hint="eastAsia"/>
          <w:sz w:val="48"/>
          <w:szCs w:val="56"/>
          <w:lang w:val="en-US" w:eastAsia="zh-CN"/>
        </w:rPr>
        <w:t>防控门禁管理</w:t>
      </w:r>
    </w:p>
    <w:p>
      <w:pPr>
        <w:jc w:val="center"/>
        <w:rPr>
          <w:sz w:val="48"/>
          <w:szCs w:val="56"/>
        </w:rPr>
      </w:pPr>
    </w:p>
    <w:p>
      <w:pPr>
        <w:rPr>
          <w:sz w:val="48"/>
          <w:szCs w:val="56"/>
        </w:rPr>
      </w:pPr>
      <w:r>
        <w:rPr>
          <w:rFonts w:hint="eastAsia"/>
          <w:sz w:val="48"/>
          <w:szCs w:val="56"/>
        </w:rPr>
        <w:t>项目预算：29万</w:t>
      </w:r>
    </w:p>
    <w:p/>
    <w:p/>
    <w:p/>
    <w:p/>
    <w:p/>
    <w:p/>
    <w:p/>
    <w:p/>
    <w:p/>
    <w:p/>
    <w:p/>
    <w:p/>
    <w:p/>
    <w:p/>
    <w:p>
      <w:pPr>
        <w:pStyle w:val="3"/>
      </w:pPr>
      <w:r>
        <w:rPr>
          <w:rFonts w:hint="eastAsia"/>
        </w:rPr>
        <w:t>一、项目需求参数</w:t>
      </w:r>
    </w:p>
    <w:tbl>
      <w:tblPr>
        <w:tblStyle w:val="7"/>
        <w:tblW w:w="13917" w:type="dxa"/>
        <w:tblInd w:w="0" w:type="dxa"/>
        <w:tblLayout w:type="fixed"/>
        <w:tblCellMar>
          <w:top w:w="0" w:type="dxa"/>
          <w:left w:w="0" w:type="dxa"/>
          <w:bottom w:w="0" w:type="dxa"/>
          <w:right w:w="0" w:type="dxa"/>
        </w:tblCellMar>
      </w:tblPr>
      <w:tblGrid>
        <w:gridCol w:w="482"/>
        <w:gridCol w:w="655"/>
        <w:gridCol w:w="11286"/>
        <w:gridCol w:w="792"/>
        <w:gridCol w:w="702"/>
      </w:tblGrid>
      <w:tr>
        <w:tblPrEx>
          <w:tblCellMar>
            <w:top w:w="0" w:type="dxa"/>
            <w:left w:w="0" w:type="dxa"/>
            <w:bottom w:w="0" w:type="dxa"/>
            <w:right w:w="0" w:type="dxa"/>
          </w:tblCellMar>
        </w:tblPrEx>
        <w:trPr>
          <w:trHeight w:val="402"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微软雅黑" w:hAnsi="微软雅黑" w:eastAsia="微软雅黑" w:cs="微软雅黑"/>
                <w:b/>
                <w:color w:val="000000"/>
                <w:sz w:val="18"/>
                <w:szCs w:val="18"/>
              </w:rPr>
            </w:pPr>
            <w:r>
              <w:rPr>
                <w:rFonts w:hint="eastAsia" w:ascii="微软雅黑" w:hAnsi="微软雅黑" w:eastAsia="微软雅黑" w:cs="微软雅黑"/>
                <w:b/>
                <w:color w:val="000000"/>
                <w:kern w:val="0"/>
                <w:sz w:val="18"/>
                <w:szCs w:val="18"/>
              </w:rPr>
              <w:t>序号</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微软雅黑" w:hAnsi="微软雅黑" w:eastAsia="微软雅黑" w:cs="微软雅黑"/>
                <w:b/>
                <w:color w:val="000000"/>
                <w:sz w:val="18"/>
                <w:szCs w:val="18"/>
              </w:rPr>
            </w:pPr>
            <w:r>
              <w:rPr>
                <w:rFonts w:hint="eastAsia" w:ascii="微软雅黑" w:hAnsi="微软雅黑" w:eastAsia="微软雅黑" w:cs="微软雅黑"/>
                <w:b/>
                <w:color w:val="000000"/>
                <w:kern w:val="0"/>
                <w:sz w:val="18"/>
                <w:szCs w:val="18"/>
              </w:rPr>
              <w:t>名称</w:t>
            </w:r>
          </w:p>
        </w:tc>
        <w:tc>
          <w:tcPr>
            <w:tcW w:w="112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微软雅黑" w:hAnsi="微软雅黑" w:eastAsia="微软雅黑" w:cs="微软雅黑"/>
                <w:b/>
                <w:color w:val="000000"/>
                <w:sz w:val="18"/>
                <w:szCs w:val="18"/>
              </w:rPr>
            </w:pPr>
            <w:r>
              <w:rPr>
                <w:rFonts w:hint="eastAsia" w:ascii="微软雅黑" w:hAnsi="微软雅黑" w:eastAsia="微软雅黑" w:cs="微软雅黑"/>
                <w:b/>
                <w:color w:val="000000"/>
                <w:kern w:val="0"/>
                <w:sz w:val="18"/>
                <w:szCs w:val="18"/>
              </w:rPr>
              <w:t>规格</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微软雅黑" w:hAnsi="微软雅黑" w:eastAsia="微软雅黑" w:cs="微软雅黑"/>
                <w:b/>
                <w:color w:val="000000"/>
                <w:sz w:val="18"/>
                <w:szCs w:val="18"/>
              </w:rPr>
            </w:pPr>
            <w:r>
              <w:rPr>
                <w:rFonts w:hint="eastAsia" w:ascii="微软雅黑" w:hAnsi="微软雅黑" w:eastAsia="微软雅黑" w:cs="微软雅黑"/>
                <w:b/>
                <w:color w:val="000000"/>
                <w:kern w:val="0"/>
                <w:sz w:val="18"/>
                <w:szCs w:val="18"/>
              </w:rPr>
              <w:t>数量</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微软雅黑" w:hAnsi="微软雅黑" w:eastAsia="微软雅黑" w:cs="微软雅黑"/>
                <w:b/>
                <w:color w:val="000000"/>
                <w:sz w:val="18"/>
                <w:szCs w:val="18"/>
              </w:rPr>
            </w:pPr>
            <w:r>
              <w:rPr>
                <w:rFonts w:hint="eastAsia" w:ascii="微软雅黑" w:hAnsi="微软雅黑" w:eastAsia="微软雅黑" w:cs="微软雅黑"/>
                <w:b/>
                <w:color w:val="000000"/>
                <w:kern w:val="0"/>
                <w:sz w:val="18"/>
                <w:szCs w:val="18"/>
              </w:rPr>
              <w:t>单位</w:t>
            </w:r>
          </w:p>
        </w:tc>
      </w:tr>
      <w:tr>
        <w:tblPrEx>
          <w:tblCellMar>
            <w:top w:w="0" w:type="dxa"/>
            <w:left w:w="0" w:type="dxa"/>
            <w:bottom w:w="0" w:type="dxa"/>
            <w:right w:w="0" w:type="dxa"/>
          </w:tblCellMar>
        </w:tblPrEx>
        <w:trPr>
          <w:trHeight w:val="90"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1</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测温人脸识别机</w:t>
            </w:r>
          </w:p>
        </w:tc>
        <w:tc>
          <w:tcPr>
            <w:tcW w:w="112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1. 测温人脸门禁一体机，设备采用≥7英寸LCD触摸显示屏，屏幕分辨率≥1024*600，可显示软件界面及操作提示，设备实时检测最大人脸，具有人脸框提示设计，方便用户校准。</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 w:val="18"/>
                <w:szCs w:val="18"/>
              </w:rPr>
              <w:t>2. 采用高清双目宽动态相机（1个可见光摄像头+1个红外摄像头），最大分辨率≥1920×1080， 帧率≥30帧/s，适应强光、逆光、弱光等条件下的人脸识别，支持通过人脸及人体测光，快速调节图像亮度；</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 w:val="18"/>
                <w:szCs w:val="18"/>
              </w:rPr>
              <w:t>3. 设备支持≥50000张人脸白名单，本地卡存储容量≥50000张，本地出入记录存储容量≥10万条；测温精度不低于0.1℃，测温误差≤±0.5℃，测温范围不小于35℃～42℃；</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 w:val="18"/>
                <w:szCs w:val="18"/>
              </w:rPr>
              <w:t>4. 支持人脸识别、刷卡、密码（超级密码）及组合认证方式，支持二维码识别，可外接身份证模块做人证比对，识别人员身份后获取该人员体温数据统一绑定；</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 w:val="18"/>
                <w:szCs w:val="18"/>
              </w:rPr>
              <w:t>5. ▲采用热成像测温，分辨率≥120*160，支持热成像图像预览；支持垂直方向 0.3～1.5m 距离范围内非接触式自动人体测温；（需提供公安部所属检验机构出具的检测报告复印件并加盖制造商鲜章证明）</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 w:val="18"/>
                <w:szCs w:val="18"/>
              </w:rPr>
              <w:t>6. ▲支持自动准确定位并检测人脸额头温度，无需用户配合；支持人员身份核验及测温，支持上传中心管理平台，实现一人一温一档记录；支持快速测温模式，不需要注册人员信息即应实现测温业务，并能配置开门授权；（需提供公安部所属检验机构出具的检测报告复印件并加盖制造商鲜章证明）</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 w:val="18"/>
                <w:szCs w:val="18"/>
              </w:rPr>
              <w:t>7. ▲支持与平台或客户端、室内机、管理机、手机 APP 对讲功能；支持扩展电话网关功能；设备支持管理中心远程视频预览功能； 支持接入NVR设备，实现视频监控录像；（需提供公安部所属检验机构出具的检测报告复印件并加盖制造商鲜章证明）</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 w:val="18"/>
                <w:szCs w:val="18"/>
              </w:rPr>
              <w:t>8. 接口：≥1个RS485、≥1个wiegand 、≥2个USB、≥1个门磁、≥1个开门按钮、≥1个电锁、≥2个报警输入、≥1个报警输出；</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 xml:space="preserve">11.00 </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台</w:t>
            </w:r>
          </w:p>
        </w:tc>
      </w:tr>
      <w:tr>
        <w:tblPrEx>
          <w:tblCellMar>
            <w:top w:w="0" w:type="dxa"/>
            <w:left w:w="0" w:type="dxa"/>
            <w:bottom w:w="0" w:type="dxa"/>
            <w:right w:w="0" w:type="dxa"/>
          </w:tblCellMar>
        </w:tblPrEx>
        <w:trPr>
          <w:trHeight w:val="3600"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二维码阅读模块</w:t>
            </w:r>
          </w:p>
        </w:tc>
        <w:tc>
          <w:tcPr>
            <w:tcW w:w="112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供电方式：DC5V-24V自适应</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 w:val="18"/>
                <w:szCs w:val="18"/>
              </w:rPr>
              <w:t>通讯接口：RS485</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 w:val="18"/>
                <w:szCs w:val="18"/>
              </w:rPr>
              <w:t>使用环境：室外</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 w:val="18"/>
                <w:szCs w:val="18"/>
              </w:rPr>
              <w:t>工作温度：-20°C-65°C</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 w:val="18"/>
                <w:szCs w:val="18"/>
              </w:rPr>
              <w:t>工作湿度：5%-95%（无凝结）</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 w:val="18"/>
                <w:szCs w:val="18"/>
              </w:rPr>
              <w:t>识读码制：QR、PDF417、CODE39、CODE93、CODE128、ISBN10、ITF、EAN13、DATABAR、aztec 等</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 w:val="18"/>
                <w:szCs w:val="18"/>
              </w:rPr>
              <w:t>解码支持：手机屏幕\纸质</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 w:val="18"/>
                <w:szCs w:val="18"/>
              </w:rPr>
              <w:t>识读景深：0mm~62.4mm(QRCODE 15mil)</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 w:val="18"/>
                <w:szCs w:val="18"/>
              </w:rPr>
              <w:t>读取精度：≥8mil</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 w:val="18"/>
                <w:szCs w:val="18"/>
              </w:rPr>
              <w:t>读取速度：≥100ms每次（平均）,支持连续读取</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 w:val="18"/>
                <w:szCs w:val="18"/>
              </w:rPr>
              <w:t>读取方向：倾斜±56.3° 旋转±360° 偏转±55.7° （15milQR）</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 w:val="18"/>
                <w:szCs w:val="18"/>
              </w:rPr>
              <w:t>视场角：≥水平72.1° 、≥垂直 56.6° 、≥视场角 84.3° （15milQR）</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 xml:space="preserve">11.00 </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台</w:t>
            </w:r>
          </w:p>
        </w:tc>
      </w:tr>
      <w:tr>
        <w:tblPrEx>
          <w:tblCellMar>
            <w:top w:w="0" w:type="dxa"/>
            <w:left w:w="0" w:type="dxa"/>
            <w:bottom w:w="0" w:type="dxa"/>
            <w:right w:w="0" w:type="dxa"/>
          </w:tblCellMar>
        </w:tblPrEx>
        <w:trPr>
          <w:trHeight w:val="834"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3</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豪华型圆弧摆闸（双摆摆闸）</w:t>
            </w:r>
          </w:p>
        </w:tc>
        <w:tc>
          <w:tcPr>
            <w:tcW w:w="112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xml:space="preserve">红外检测对数 ≥4对红外光幕 </w:t>
            </w:r>
          </w:p>
          <w:p>
            <w:pPr>
              <w:widowControl/>
              <w:jc w:val="left"/>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xml:space="preserve">通行频率： 20~60 人/分钟 </w:t>
            </w:r>
          </w:p>
          <w:p>
            <w:pPr>
              <w:widowControl/>
              <w:jc w:val="left"/>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断电摆臂自动解锁、防夹检测、红外防夹、机械防夹、逆行检测、反向闯入检测</w:t>
            </w:r>
          </w:p>
          <w:p>
            <w:pPr>
              <w:widowControl/>
              <w:jc w:val="left"/>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xml:space="preserve">报警方式：声光报警 </w:t>
            </w:r>
          </w:p>
          <w:p>
            <w:pPr>
              <w:widowControl/>
              <w:jc w:val="left"/>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xml:space="preserve">接口参数RS485/23，标准距离≤1200米 </w:t>
            </w:r>
          </w:p>
          <w:p>
            <w:pPr>
              <w:widowControl/>
              <w:jc w:val="left"/>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xml:space="preserve">电机：直流无刷电机、支持与院内消防联动 </w:t>
            </w:r>
          </w:p>
          <w:p>
            <w:pPr>
              <w:widowControl/>
              <w:jc w:val="left"/>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xml:space="preserve">机箱材质：国标1.5mm厚、304 不锈钢拉丝 </w:t>
            </w:r>
          </w:p>
          <w:p>
            <w:pPr>
              <w:widowControl/>
              <w:jc w:val="left"/>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xml:space="preserve">摆臂材质：≤10mm 亚克力/不锈钢管 </w:t>
            </w:r>
          </w:p>
          <w:p>
            <w:pPr>
              <w:widowControl/>
              <w:jc w:val="left"/>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xml:space="preserve">档板材质：≤10mm 钢化玻璃/亚克力 </w:t>
            </w:r>
          </w:p>
          <w:p>
            <w:pPr>
              <w:widowControl/>
              <w:jc w:val="left"/>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xml:space="preserve">使用寿命：≥500 万次 </w:t>
            </w:r>
          </w:p>
          <w:p>
            <w:pPr>
              <w:widowControl/>
              <w:jc w:val="left"/>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xml:space="preserve">尺寸(长*宽*高)：≤1200mm*180mm*990mm </w:t>
            </w:r>
          </w:p>
          <w:p>
            <w:pPr>
              <w:widowControl/>
              <w:jc w:val="left"/>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xml:space="preserve">语音功能：内置功放和扬声器 </w:t>
            </w:r>
          </w:p>
          <w:p>
            <w:pPr>
              <w:widowControl/>
              <w:jc w:val="left"/>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xml:space="preserve">通道宽度：支持550mm～850mm </w:t>
            </w:r>
          </w:p>
          <w:p>
            <w:pPr>
              <w:widowControl/>
              <w:jc w:val="left"/>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xml:space="preserve">关门精度: ≤1度 </w:t>
            </w:r>
          </w:p>
          <w:p>
            <w:pPr>
              <w:widowControl/>
              <w:jc w:val="left"/>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xml:space="preserve">工作环境 -20℃-60℃；工作湿度:5%--80% </w:t>
            </w:r>
          </w:p>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防护等级:IP54（可根据医院需要调整摆臂长度，摆臂超过1100mm，支持金属门翼）</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 xml:space="preserve">5.00 </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台</w:t>
            </w:r>
          </w:p>
        </w:tc>
      </w:tr>
      <w:tr>
        <w:tblPrEx>
          <w:tblCellMar>
            <w:top w:w="0" w:type="dxa"/>
            <w:left w:w="0" w:type="dxa"/>
            <w:bottom w:w="0" w:type="dxa"/>
            <w:right w:w="0" w:type="dxa"/>
          </w:tblCellMar>
        </w:tblPrEx>
        <w:trPr>
          <w:trHeight w:val="3160"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4</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豪华型圆弧摆闸（单摆摆闸）</w:t>
            </w:r>
          </w:p>
        </w:tc>
        <w:tc>
          <w:tcPr>
            <w:tcW w:w="112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xml:space="preserve">红外检测对数：≥4对红外光幕 </w:t>
            </w:r>
          </w:p>
          <w:p>
            <w:pPr>
              <w:widowControl/>
              <w:jc w:val="left"/>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xml:space="preserve">通行频率 : 20~60 人/分钟 </w:t>
            </w:r>
          </w:p>
          <w:p>
            <w:pPr>
              <w:widowControl/>
              <w:jc w:val="left"/>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xml:space="preserve">断电摆臂自动解锁、防夹检测 红外防夹、机械防夹、逆行检测、反向闯入检测，报警方式声光报警 </w:t>
            </w:r>
          </w:p>
          <w:p>
            <w:pPr>
              <w:widowControl/>
              <w:jc w:val="left"/>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xml:space="preserve">接口参数：RS485/232标准距离≤1200米 </w:t>
            </w:r>
          </w:p>
          <w:p>
            <w:pPr>
              <w:widowControl/>
              <w:jc w:val="left"/>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xml:space="preserve">电机：直流无刷电机、支持消防联动 </w:t>
            </w:r>
          </w:p>
          <w:p>
            <w:pPr>
              <w:widowControl/>
              <w:jc w:val="left"/>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xml:space="preserve">机箱材质：国标1.5mm 厚+304不锈钢拉丝 </w:t>
            </w:r>
          </w:p>
          <w:p>
            <w:pPr>
              <w:widowControl/>
              <w:jc w:val="left"/>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xml:space="preserve">摆臂材质：≤10mm 亚克力/不锈钢管 </w:t>
            </w:r>
          </w:p>
          <w:p>
            <w:pPr>
              <w:widowControl/>
              <w:jc w:val="left"/>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xml:space="preserve">档板材质：≤10mm 钢化玻璃/亚克力 </w:t>
            </w:r>
          </w:p>
          <w:p>
            <w:pPr>
              <w:widowControl/>
              <w:jc w:val="left"/>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xml:space="preserve">使用寿命：≥500 万次 </w:t>
            </w:r>
          </w:p>
          <w:p>
            <w:pPr>
              <w:widowControl/>
              <w:jc w:val="left"/>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xml:space="preserve">尺寸(长*宽*高)：≤1200mm*180mm*990mm </w:t>
            </w:r>
          </w:p>
          <w:p>
            <w:pPr>
              <w:widowControl/>
              <w:jc w:val="left"/>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xml:space="preserve">语音功能：内置功放和扬声器 </w:t>
            </w:r>
          </w:p>
          <w:p>
            <w:pPr>
              <w:widowControl/>
              <w:jc w:val="left"/>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通道宽度 :支持550mm～850mm</w:t>
            </w:r>
          </w:p>
          <w:p>
            <w:pPr>
              <w:widowControl/>
              <w:jc w:val="left"/>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xml:space="preserve">关门精度：≤1度 </w:t>
            </w:r>
          </w:p>
          <w:p>
            <w:pPr>
              <w:widowControl/>
              <w:jc w:val="left"/>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 xml:space="preserve">工作环境：-20℃-60℃；工作湿度:5%--80% </w:t>
            </w:r>
          </w:p>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防护等级：IP54（可根据医院需要调整摆臂长度，摆臂超过1100mm，支持金属门翼）</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 xml:space="preserve">12.00 </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台</w:t>
            </w:r>
          </w:p>
        </w:tc>
      </w:tr>
      <w:tr>
        <w:tblPrEx>
          <w:tblCellMar>
            <w:top w:w="0" w:type="dxa"/>
            <w:left w:w="0" w:type="dxa"/>
            <w:bottom w:w="0" w:type="dxa"/>
            <w:right w:w="0" w:type="dxa"/>
          </w:tblCellMar>
        </w:tblPrEx>
        <w:trPr>
          <w:trHeight w:val="5360"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5</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门禁测温人脸识别机</w:t>
            </w:r>
          </w:p>
        </w:tc>
        <w:tc>
          <w:tcPr>
            <w:tcW w:w="112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1"/>
              </w:numPr>
              <w:jc w:val="left"/>
              <w:textAlignment w:val="center"/>
              <w:rPr>
                <w:rFonts w:hint="default" w:ascii="微软雅黑" w:hAnsi="微软雅黑" w:eastAsia="微软雅黑" w:cs="微软雅黑"/>
                <w:color w:val="000000"/>
                <w:kern w:val="0"/>
                <w:sz w:val="18"/>
                <w:szCs w:val="18"/>
                <w:lang w:val="en-US" w:eastAsia="zh-CN"/>
              </w:rPr>
            </w:pPr>
            <w:r>
              <w:rPr>
                <w:rFonts w:hint="eastAsia" w:ascii="微软雅黑" w:hAnsi="微软雅黑" w:eastAsia="微软雅黑" w:cs="微软雅黑"/>
                <w:color w:val="000000"/>
                <w:kern w:val="0"/>
                <w:sz w:val="18"/>
                <w:szCs w:val="18"/>
              </w:rPr>
              <w:t>测温人脸门禁一体机，设备采用≥7英寸LCD触摸显示屏，屏幕分辨率≥1024*600，可显示软件界面及操作提示，设备实时检测最大人脸，具有人脸框提示设计，方便用户校准。</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 w:val="18"/>
                <w:szCs w:val="18"/>
              </w:rPr>
              <w:t>2. 采用高清双目宽动态相机（1个可见光摄像头+1个红外摄像头），最大分辨率≥1920×1080， 帧率≥30帧/s，适应强光、逆光、弱光等条件下的人脸识别，支持通过人脸及人体测光，快速调节图像亮度；</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 w:val="18"/>
                <w:szCs w:val="18"/>
              </w:rPr>
              <w:t>3. 设备支持≥50000张人脸白名单，本地卡存储容量≥50000张，本地出入记录存储容量≥10万条；测温精度不低于0.1℃，测温误差≤±0.5℃，测温范围不小于35℃～42℃；</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 w:val="18"/>
                <w:szCs w:val="18"/>
              </w:rPr>
              <w:t>4. 支持人脸识别、刷卡、密码（超级密码）及组合认证方式，支持二维码识别，可外接身份证模块做人证比对，识别人员身份后获取该人员体温数据统一绑定；</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 w:val="18"/>
                <w:szCs w:val="18"/>
              </w:rPr>
              <w:t>5. ▲采用热成像测温，分辨率≥120*160，支持热成像图像预览；支持垂直方向 0.3～1.5m 距离范围内非接触式自动人体测温；（需提供公安部所属检验机构出具的检测报告复印件并加盖制造商鲜章证明）</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 w:val="18"/>
                <w:szCs w:val="18"/>
              </w:rPr>
              <w:t>6. ▲支持自动准确定位并检测人脸额头温度，无需用户配合；支持人员身份核验及测温，支持上传中心管理平台，实现一人一温一档记录；支持快速测温模式，不需要注册人员信息即应实现测温业务，并能配置开门授权；（需提供公安部所属检验机构出具的检测报告复印件并加盖制造商鲜章证明）</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 w:val="18"/>
                <w:szCs w:val="18"/>
              </w:rPr>
              <w:t>7. ▲支持与平台或客户端、室内机、管理机、手机 APP 对讲功能；支持扩展电话网关功能；设备支持管理中心远程视频预览功能； 支持接入NVR设备，实现视频监控录像；（需提供公安部所属检验机构出具的检测报告复印件并加盖制造商鲜章证明）</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 w:val="18"/>
                <w:szCs w:val="18"/>
              </w:rPr>
              <w:t>8. 接口：≥1个RS485、≥1个wiegand 、≥2个USB、≥1个门磁、≥1个开门按钮、≥1个电锁、≥2个报警输入、≥1个报警输出；</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 xml:space="preserve">3.00 </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台</w:t>
            </w:r>
          </w:p>
        </w:tc>
      </w:tr>
      <w:tr>
        <w:tblPrEx>
          <w:tblCellMar>
            <w:top w:w="0" w:type="dxa"/>
            <w:left w:w="0" w:type="dxa"/>
            <w:bottom w:w="0" w:type="dxa"/>
            <w:right w:w="0" w:type="dxa"/>
          </w:tblCellMar>
        </w:tblPrEx>
        <w:trPr>
          <w:trHeight w:val="2887"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6</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门禁专用型电源</w:t>
            </w:r>
          </w:p>
        </w:tc>
        <w:tc>
          <w:tcPr>
            <w:tcW w:w="112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输入电压：100-240VAC；</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 w:val="18"/>
                <w:szCs w:val="18"/>
              </w:rPr>
              <w:t>输出电压：12VDC；</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 w:val="18"/>
                <w:szCs w:val="18"/>
              </w:rPr>
              <w:t>输出电流：4.17A；</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 w:val="18"/>
                <w:szCs w:val="18"/>
              </w:rPr>
              <w:t>输出功率：50W；</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 w:val="18"/>
                <w:szCs w:val="18"/>
              </w:rPr>
              <w:t>支持蓄电池（0T7-12）接入（设备本身不含蓄电池）；</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 w:val="18"/>
                <w:szCs w:val="18"/>
              </w:rPr>
              <w:t>工作温度：-10℃-+70℃；</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 w:val="18"/>
                <w:szCs w:val="18"/>
              </w:rPr>
              <w:t>工作湿度：＜95%；</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 w:val="18"/>
                <w:szCs w:val="18"/>
              </w:rPr>
              <w:t>带机箱，机箱尺寸：237*285*85mm；</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 w:val="18"/>
                <w:szCs w:val="18"/>
              </w:rPr>
              <w:t>用于给一体机和电锁供电使用。</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 xml:space="preserve">3.00 </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个</w:t>
            </w:r>
          </w:p>
        </w:tc>
      </w:tr>
      <w:tr>
        <w:tblPrEx>
          <w:tblCellMar>
            <w:top w:w="0" w:type="dxa"/>
            <w:left w:w="0" w:type="dxa"/>
            <w:bottom w:w="0" w:type="dxa"/>
            <w:right w:w="0" w:type="dxa"/>
          </w:tblCellMar>
        </w:tblPrEx>
        <w:trPr>
          <w:trHeight w:val="2100"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7</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门禁单门磁力锁</w:t>
            </w:r>
          </w:p>
        </w:tc>
        <w:tc>
          <w:tcPr>
            <w:tcW w:w="112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最大拉力:单门280KG</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 w:val="18"/>
                <w:szCs w:val="18"/>
              </w:rPr>
              <w:t>工作电流:12V(单门420mA双门840mA) 24V( 单门210mA双门420mA)</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 w:val="18"/>
                <w:szCs w:val="18"/>
              </w:rPr>
              <w:t>重量:单门2.1KG/把</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 w:val="18"/>
                <w:szCs w:val="18"/>
              </w:rPr>
              <w:t>尺寸:238x27x47mm</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 w:val="18"/>
                <w:szCs w:val="18"/>
              </w:rPr>
              <w:t>锁体与安装条采用四个螺丝固定，使用中更牢固</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 w:val="18"/>
                <w:szCs w:val="18"/>
              </w:rPr>
              <w:t>特殊外观处理:</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 w:val="18"/>
                <w:szCs w:val="18"/>
              </w:rPr>
              <w:t>铝材选用阳极氧化，锁体和吸板选用化学电镀附着力更强,防腐性能更高。内置突波吸收器保护锁体和配套设备</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 xml:space="preserve">3.00 </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把</w:t>
            </w:r>
          </w:p>
        </w:tc>
      </w:tr>
      <w:tr>
        <w:tblPrEx>
          <w:tblCellMar>
            <w:top w:w="0" w:type="dxa"/>
            <w:left w:w="0" w:type="dxa"/>
            <w:bottom w:w="0" w:type="dxa"/>
            <w:right w:w="0" w:type="dxa"/>
          </w:tblCellMar>
        </w:tblPrEx>
        <w:trPr>
          <w:trHeight w:val="1500"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磁力锁专用支架</w:t>
            </w:r>
          </w:p>
        </w:tc>
        <w:tc>
          <w:tcPr>
            <w:tcW w:w="112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尺寸 L:长238x宽30x厚47(mm) Z:长185x宽44x厚50(mm)</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 w:val="18"/>
                <w:szCs w:val="18"/>
              </w:rPr>
              <w:t>适用内开式木门，金属门，窄框门</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 w:val="18"/>
                <w:szCs w:val="18"/>
              </w:rPr>
              <w:t>开门方式：90°开门</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 w:val="18"/>
                <w:szCs w:val="18"/>
              </w:rPr>
              <w:t>材料：高强铝合金，表面喷沙阳化处理</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 w:val="18"/>
                <w:szCs w:val="18"/>
              </w:rPr>
              <w:t>重量：0.77kg</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 xml:space="preserve">3.00 </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套</w:t>
            </w:r>
          </w:p>
        </w:tc>
      </w:tr>
      <w:tr>
        <w:tblPrEx>
          <w:tblCellMar>
            <w:top w:w="0" w:type="dxa"/>
            <w:left w:w="0" w:type="dxa"/>
            <w:bottom w:w="0" w:type="dxa"/>
            <w:right w:w="0" w:type="dxa"/>
          </w:tblCellMar>
        </w:tblPrEx>
        <w:trPr>
          <w:trHeight w:val="2040"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9</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86型出门开关</w:t>
            </w:r>
          </w:p>
        </w:tc>
        <w:tc>
          <w:tcPr>
            <w:tcW w:w="112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结构：塑料面板；</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 w:val="18"/>
                <w:szCs w:val="18"/>
              </w:rPr>
              <w:t>性能：最大耐电流1.25A，电压250V；</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 w:val="18"/>
                <w:szCs w:val="18"/>
              </w:rPr>
              <w:t>输出：常开；</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 w:val="18"/>
                <w:szCs w:val="18"/>
              </w:rPr>
              <w:t>类型：适合埋入式电器盒使用；</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 w:val="18"/>
                <w:szCs w:val="18"/>
              </w:rPr>
              <w:t>尺寸：&lt;=86*86mm；</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 w:val="18"/>
                <w:szCs w:val="18"/>
              </w:rPr>
              <w:t>重量：&lt;=0.07kg；</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 xml:space="preserve">3.00 </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个</w:t>
            </w:r>
          </w:p>
        </w:tc>
      </w:tr>
      <w:tr>
        <w:tblPrEx>
          <w:tblCellMar>
            <w:top w:w="0" w:type="dxa"/>
            <w:left w:w="0" w:type="dxa"/>
            <w:bottom w:w="0" w:type="dxa"/>
            <w:right w:w="0" w:type="dxa"/>
          </w:tblCellMar>
        </w:tblPrEx>
        <w:trPr>
          <w:trHeight w:val="90"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10</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综合管理服务器</w:t>
            </w:r>
          </w:p>
        </w:tc>
        <w:tc>
          <w:tcPr>
            <w:tcW w:w="112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r>
              <w:rPr>
                <w:rFonts w:hint="eastAsia" w:ascii="微软雅黑" w:hAnsi="微软雅黑" w:eastAsia="微软雅黑" w:cs="微软雅黑"/>
                <w:color w:val="000000"/>
                <w:kern w:val="0"/>
                <w:sz w:val="18"/>
                <w:szCs w:val="18"/>
              </w:rPr>
              <w:t>机架式 2U</w:t>
            </w:r>
            <w:r>
              <w:rPr>
                <w:rFonts w:hint="eastAsia" w:ascii="微软雅黑" w:hAnsi="微软雅黑" w:eastAsia="微软雅黑" w:cs="微软雅黑"/>
                <w:color w:val="000000"/>
                <w:kern w:val="0"/>
                <w:sz w:val="18"/>
                <w:szCs w:val="18"/>
              </w:rPr>
              <w:cr/>
            </w:r>
            <w:r>
              <w:rPr>
                <w:rFonts w:hint="eastAsia" w:ascii="微软雅黑" w:hAnsi="微软雅黑" w:eastAsia="微软雅黑" w:cs="微软雅黑"/>
                <w:color w:val="000000"/>
                <w:kern w:val="0"/>
                <w:sz w:val="18"/>
                <w:szCs w:val="18"/>
              </w:rPr>
              <w:t>CPU</w:t>
            </w:r>
            <w:r>
              <w:rPr>
                <w:rFonts w:hint="eastAsia" w:ascii="微软雅黑" w:hAnsi="微软雅黑" w:eastAsia="微软雅黑" w:cs="微软雅黑"/>
                <w:color w:val="000000"/>
                <w:kern w:val="0"/>
                <w:sz w:val="18"/>
                <w:szCs w:val="18"/>
              </w:rPr>
              <w:tab/>
            </w:r>
            <w:r>
              <w:rPr>
                <w:rFonts w:hint="eastAsia" w:ascii="微软雅黑" w:hAnsi="微软雅黑" w:eastAsia="微软雅黑" w:cs="微软雅黑"/>
                <w:color w:val="000000"/>
                <w:kern w:val="0"/>
                <w:sz w:val="18"/>
                <w:szCs w:val="18"/>
              </w:rPr>
              <w:t>：本次配置1个 英特尔®至强® 银牌 4210R 2.4GHz, 10C/20T,  13.75MB 缓存</w:t>
            </w:r>
            <w:r>
              <w:rPr>
                <w:rFonts w:hint="eastAsia" w:ascii="微软雅黑" w:hAnsi="微软雅黑" w:eastAsia="微软雅黑" w:cs="微软雅黑"/>
                <w:color w:val="000000"/>
                <w:kern w:val="0"/>
                <w:sz w:val="18"/>
                <w:szCs w:val="18"/>
              </w:rPr>
              <w:cr/>
            </w:r>
            <w:r>
              <w:rPr>
                <w:rFonts w:hint="eastAsia" w:ascii="微软雅黑" w:hAnsi="微软雅黑" w:eastAsia="微软雅黑" w:cs="微软雅黑"/>
                <w:color w:val="000000"/>
                <w:kern w:val="0"/>
                <w:sz w:val="18"/>
                <w:szCs w:val="18"/>
              </w:rPr>
              <w:t>内存：配置容量 ≥64GB （32GB*2）RDIMM, 2666MT/s 双列, x8 带宽; 配置24个插槽，支持最大内存≥3TB，支持最大NVDIMM内存≥192GB</w:t>
            </w:r>
            <w:r>
              <w:rPr>
                <w:rFonts w:hint="eastAsia" w:ascii="微软雅黑" w:hAnsi="微软雅黑" w:eastAsia="微软雅黑" w:cs="微软雅黑"/>
                <w:color w:val="000000"/>
                <w:kern w:val="0"/>
                <w:sz w:val="18"/>
                <w:szCs w:val="18"/>
              </w:rPr>
              <w:cr/>
            </w:r>
            <w:r>
              <w:rPr>
                <w:rFonts w:hint="eastAsia" w:ascii="微软雅黑" w:hAnsi="微软雅黑" w:eastAsia="微软雅黑" w:cs="微软雅黑"/>
                <w:color w:val="000000"/>
                <w:kern w:val="0"/>
                <w:sz w:val="18"/>
                <w:szCs w:val="18"/>
              </w:rPr>
              <w:t xml:space="preserve">硬盘：当前配置：≥4块 600G  10K RPM SAS 2.5英寸热插拔硬盘； </w:t>
            </w:r>
            <w:r>
              <w:rPr>
                <w:rFonts w:hint="eastAsia" w:ascii="微软雅黑" w:hAnsi="微软雅黑" w:eastAsia="微软雅黑" w:cs="微软雅黑"/>
                <w:color w:val="000000"/>
                <w:kern w:val="0"/>
                <w:sz w:val="18"/>
                <w:szCs w:val="18"/>
              </w:rPr>
              <w:cr/>
            </w:r>
            <w:r>
              <w:rPr>
                <w:rFonts w:hint="eastAsia" w:ascii="微软雅黑" w:hAnsi="微软雅黑" w:eastAsia="微软雅黑" w:cs="微软雅黑"/>
                <w:color w:val="000000"/>
                <w:kern w:val="0"/>
                <w:sz w:val="18"/>
                <w:szCs w:val="18"/>
              </w:rPr>
              <w:t>扩展性</w:t>
            </w:r>
            <w:r>
              <w:rPr>
                <w:rFonts w:ascii="微软雅黑" w:hAnsi="微软雅黑" w:eastAsia="微软雅黑" w:cs="微软雅黑"/>
                <w:color w:val="000000"/>
                <w:kern w:val="0"/>
                <w:sz w:val="18"/>
                <w:szCs w:val="18"/>
              </w:rPr>
              <w:t>:</w:t>
            </w:r>
            <w:r>
              <w:rPr>
                <w:rFonts w:hint="eastAsia" w:ascii="微软雅黑" w:hAnsi="微软雅黑" w:eastAsia="微软雅黑" w:cs="微软雅黑"/>
                <w:color w:val="000000"/>
                <w:kern w:val="0"/>
                <w:sz w:val="18"/>
                <w:szCs w:val="18"/>
              </w:rPr>
              <w:t>支持3.5英寸或2.5英寸SAS/SATA热插拔硬盘≥8个</w:t>
            </w:r>
            <w:r>
              <w:rPr>
                <w:rFonts w:hint="eastAsia" w:ascii="微软雅黑" w:hAnsi="微软雅黑" w:eastAsia="微软雅黑" w:cs="微软雅黑"/>
                <w:color w:val="000000"/>
                <w:kern w:val="0"/>
                <w:sz w:val="18"/>
                <w:szCs w:val="18"/>
              </w:rPr>
              <w:cr/>
            </w:r>
            <w:r>
              <w:rPr>
                <w:rFonts w:hint="eastAsia" w:ascii="微软雅黑" w:hAnsi="微软雅黑" w:eastAsia="微软雅黑" w:cs="微软雅黑"/>
                <w:color w:val="000000"/>
                <w:kern w:val="0"/>
                <w:sz w:val="18"/>
                <w:szCs w:val="18"/>
              </w:rPr>
              <w:t>RAID卡</w:t>
            </w:r>
            <w:r>
              <w:rPr>
                <w:rFonts w:ascii="微软雅黑" w:hAnsi="微软雅黑" w:eastAsia="微软雅黑" w:cs="微软雅黑"/>
                <w:color w:val="000000"/>
                <w:kern w:val="0"/>
                <w:sz w:val="18"/>
                <w:szCs w:val="18"/>
              </w:rPr>
              <w:t>:</w:t>
            </w:r>
            <w:r>
              <w:rPr>
                <w:rFonts w:hint="eastAsia" w:ascii="微软雅黑" w:hAnsi="微软雅黑" w:eastAsia="微软雅黑" w:cs="微软雅黑"/>
                <w:color w:val="000000"/>
                <w:kern w:val="0"/>
                <w:sz w:val="18"/>
                <w:szCs w:val="18"/>
              </w:rPr>
              <w:t>支持RAID 0、1、5、6、10、50、60; 高速缓存 带电池保护；本次要求≥H350阵列卡</w:t>
            </w:r>
            <w:r>
              <w:rPr>
                <w:rFonts w:hint="eastAsia" w:ascii="微软雅黑" w:hAnsi="微软雅黑" w:eastAsia="微软雅黑" w:cs="微软雅黑"/>
                <w:color w:val="000000"/>
                <w:kern w:val="0"/>
                <w:sz w:val="18"/>
                <w:szCs w:val="18"/>
              </w:rPr>
              <w:cr/>
            </w:r>
            <w:r>
              <w:rPr>
                <w:rFonts w:hint="eastAsia" w:ascii="微软雅黑" w:hAnsi="微软雅黑" w:eastAsia="微软雅黑" w:cs="微软雅黑"/>
                <w:color w:val="000000"/>
                <w:kern w:val="0"/>
                <w:sz w:val="18"/>
                <w:szCs w:val="18"/>
              </w:rPr>
              <w:t>▲网卡：可灵活选择板载网卡（Intel 或者Broadcom品牌，千兆或万兆） 本次配置：4个千兆；带TOE；支持故障切换和负载均衡功能；</w:t>
            </w:r>
            <w:r>
              <w:rPr>
                <w:rFonts w:hint="eastAsia" w:ascii="微软雅黑" w:hAnsi="微软雅黑" w:eastAsia="微软雅黑" w:cs="微软雅黑"/>
                <w:color w:val="000000"/>
                <w:kern w:val="0"/>
                <w:sz w:val="18"/>
                <w:szCs w:val="18"/>
              </w:rPr>
              <w:cr/>
            </w:r>
            <w:r>
              <w:rPr>
                <w:rFonts w:hint="eastAsia" w:ascii="微软雅黑" w:hAnsi="微软雅黑" w:eastAsia="微软雅黑" w:cs="微软雅黑"/>
                <w:color w:val="000000"/>
                <w:kern w:val="0"/>
                <w:sz w:val="18"/>
                <w:szCs w:val="18"/>
              </w:rPr>
              <w:t>PCI-E：I/O PCIe插槽 ≥8个第三代插槽</w:t>
            </w:r>
            <w:r>
              <w:rPr>
                <w:rFonts w:hint="eastAsia" w:ascii="微软雅黑" w:hAnsi="微软雅黑" w:eastAsia="微软雅黑" w:cs="微软雅黑"/>
                <w:color w:val="000000"/>
                <w:kern w:val="0"/>
                <w:sz w:val="18"/>
                <w:szCs w:val="18"/>
              </w:rPr>
              <w:cr/>
            </w:r>
            <w:r>
              <w:rPr>
                <w:rFonts w:hint="eastAsia" w:ascii="微软雅黑" w:hAnsi="微软雅黑" w:eastAsia="微软雅黑" w:cs="微软雅黑"/>
                <w:color w:val="000000"/>
                <w:kern w:val="0"/>
                <w:sz w:val="18"/>
                <w:szCs w:val="18"/>
              </w:rPr>
              <w:t>光驱：DVD光驱；</w:t>
            </w:r>
            <w:r>
              <w:rPr>
                <w:rFonts w:hint="eastAsia" w:ascii="微软雅黑" w:hAnsi="微软雅黑" w:eastAsia="微软雅黑" w:cs="微软雅黑"/>
                <w:color w:val="000000"/>
                <w:kern w:val="0"/>
                <w:sz w:val="18"/>
                <w:szCs w:val="18"/>
              </w:rPr>
              <w:cr/>
            </w:r>
            <w:r>
              <w:rPr>
                <w:rFonts w:hint="eastAsia" w:ascii="微软雅黑" w:hAnsi="微软雅黑" w:eastAsia="微软雅黑" w:cs="微软雅黑"/>
                <w:color w:val="000000"/>
                <w:kern w:val="0"/>
                <w:sz w:val="18"/>
                <w:szCs w:val="18"/>
              </w:rPr>
              <w:t>管理：前面板上可选液晶屏，可显示默认或定制信息，包括IP 地址、服务器名称、支持服务编号等。如果系统发生故障，该液晶屏上将显示关于故障的具体信息；支持硬件故障检测，电源、电压、风扇监控，温度监控，远程开关机，报错日志管理。支持CPU，内存，硬盘，电源，风扇故障前预告警功能；</w:t>
            </w:r>
            <w:r>
              <w:rPr>
                <w:rFonts w:hint="eastAsia" w:ascii="微软雅黑" w:hAnsi="微软雅黑" w:eastAsia="微软雅黑" w:cs="微软雅黑"/>
                <w:color w:val="000000"/>
                <w:kern w:val="0"/>
                <w:sz w:val="18"/>
                <w:szCs w:val="18"/>
              </w:rPr>
              <w:cr/>
            </w:r>
            <w:r>
              <w:rPr>
                <w:rFonts w:hint="eastAsia" w:ascii="微软雅黑" w:hAnsi="微软雅黑" w:eastAsia="微软雅黑" w:cs="微软雅黑"/>
                <w:color w:val="000000"/>
                <w:kern w:val="0"/>
                <w:sz w:val="18"/>
                <w:szCs w:val="18"/>
              </w:rPr>
              <w:t>▲支持移动端Wifi/Bluetooth方式统一管理服务器</w:t>
            </w:r>
            <w:r>
              <w:rPr>
                <w:rFonts w:hint="eastAsia" w:ascii="微软雅黑" w:hAnsi="微软雅黑" w:eastAsia="微软雅黑" w:cs="微软雅黑"/>
                <w:color w:val="000000"/>
                <w:kern w:val="0"/>
                <w:sz w:val="18"/>
                <w:szCs w:val="18"/>
              </w:rPr>
              <w:cr/>
            </w:r>
            <w:r>
              <w:rPr>
                <w:rFonts w:hint="eastAsia" w:ascii="微软雅黑" w:hAnsi="微软雅黑" w:eastAsia="微软雅黑" w:cs="微软雅黑"/>
                <w:color w:val="000000"/>
                <w:kern w:val="0"/>
                <w:sz w:val="18"/>
                <w:szCs w:val="18"/>
              </w:rPr>
              <w:t>▲配置远程管理卡，具有单独的管理网口，不依赖主机操作系统进行远程操作。能够利用SDCard保存操作系统安装镜像，从而实现一站式地完成操作系统的部署。</w:t>
            </w:r>
            <w:r>
              <w:rPr>
                <w:rFonts w:hint="eastAsia" w:ascii="微软雅黑" w:hAnsi="微软雅黑" w:eastAsia="微软雅黑" w:cs="微软雅黑"/>
                <w:color w:val="000000"/>
                <w:kern w:val="0"/>
                <w:sz w:val="18"/>
                <w:szCs w:val="18"/>
              </w:rPr>
              <w:cr/>
            </w:r>
            <w:r>
              <w:rPr>
                <w:rFonts w:hint="eastAsia" w:ascii="微软雅黑" w:hAnsi="微软雅黑" w:eastAsia="微软雅黑" w:cs="微软雅黑"/>
                <w:color w:val="000000"/>
                <w:kern w:val="0"/>
                <w:sz w:val="18"/>
                <w:szCs w:val="18"/>
              </w:rPr>
              <w:t>▲管理软件：为方便服务器后期管理，要求服务器支持扩展同品牌或第三方品牌的智能域管理软件，该软件应具有合法的知识产权，并取得计算机软件著作权登记证书（提供计算机软件著作权登记证书复印件）；智能域管理：实现智能域管理和认证。</w:t>
            </w:r>
            <w:r>
              <w:rPr>
                <w:rFonts w:hint="eastAsia" w:ascii="微软雅黑" w:hAnsi="微软雅黑" w:eastAsia="微软雅黑" w:cs="微软雅黑"/>
                <w:color w:val="000000"/>
                <w:kern w:val="0"/>
                <w:sz w:val="18"/>
                <w:szCs w:val="18"/>
              </w:rPr>
              <w:cr/>
            </w:r>
            <w:r>
              <w:rPr>
                <w:rFonts w:hint="eastAsia" w:ascii="微软雅黑" w:hAnsi="微软雅黑" w:eastAsia="微软雅黑" w:cs="微软雅黑"/>
                <w:color w:val="000000"/>
                <w:kern w:val="0"/>
                <w:sz w:val="18"/>
                <w:szCs w:val="18"/>
              </w:rPr>
              <w:t>软件功能包括：①局域网文件传输②局域网文件统一下发③局域网系统通知④识别用户身份⑤操作系统漏洞检测及更新⑥文档检索。</w:t>
            </w:r>
            <w:r>
              <w:rPr>
                <w:rFonts w:hint="eastAsia" w:ascii="微软雅黑" w:hAnsi="微软雅黑" w:eastAsia="微软雅黑" w:cs="微软雅黑"/>
                <w:color w:val="000000"/>
                <w:kern w:val="0"/>
                <w:sz w:val="18"/>
                <w:szCs w:val="18"/>
              </w:rPr>
              <w:cr/>
            </w:r>
            <w:r>
              <w:rPr>
                <w:rFonts w:hint="eastAsia" w:ascii="微软雅黑" w:hAnsi="微软雅黑" w:eastAsia="微软雅黑" w:cs="微软雅黑"/>
                <w:color w:val="000000"/>
                <w:kern w:val="0"/>
                <w:sz w:val="18"/>
                <w:szCs w:val="18"/>
              </w:rPr>
              <w:t>虚拟化支持</w:t>
            </w:r>
            <w:r>
              <w:rPr>
                <w:rFonts w:hint="eastAsia" w:ascii="微软雅黑" w:hAnsi="微软雅黑" w:eastAsia="微软雅黑" w:cs="微软雅黑"/>
                <w:color w:val="000000"/>
                <w:kern w:val="0"/>
                <w:sz w:val="18"/>
                <w:szCs w:val="18"/>
              </w:rPr>
              <w:tab/>
            </w:r>
            <w:r>
              <w:rPr>
                <w:rFonts w:hint="eastAsia" w:ascii="微软雅黑" w:hAnsi="微软雅黑" w:eastAsia="微软雅黑" w:cs="微软雅黑"/>
                <w:color w:val="000000"/>
                <w:kern w:val="0"/>
                <w:sz w:val="18"/>
                <w:szCs w:val="18"/>
              </w:rPr>
              <w:t>支持双宽GPU数量≥3，单宽GPU数量≥6</w:t>
            </w:r>
            <w:r>
              <w:rPr>
                <w:rFonts w:hint="eastAsia" w:ascii="微软雅黑" w:hAnsi="微软雅黑" w:eastAsia="微软雅黑" w:cs="微软雅黑"/>
                <w:color w:val="000000"/>
                <w:kern w:val="0"/>
                <w:sz w:val="18"/>
                <w:szCs w:val="18"/>
              </w:rPr>
              <w:cr/>
            </w:r>
            <w:r>
              <w:rPr>
                <w:rFonts w:hint="eastAsia" w:ascii="微软雅黑" w:hAnsi="微软雅黑" w:eastAsia="微软雅黑" w:cs="微软雅黑"/>
                <w:color w:val="000000"/>
                <w:kern w:val="0"/>
                <w:sz w:val="18"/>
                <w:szCs w:val="18"/>
              </w:rPr>
              <w:t>▲主板支持集成双SD冗余虚拟化卡，支持在服务器非硬盘安装方式部署Hypervisor，提高整体性能和可靠性，有效降低服务器采购和运维成本</w:t>
            </w:r>
            <w:r>
              <w:rPr>
                <w:rFonts w:hint="eastAsia" w:ascii="微软雅黑" w:hAnsi="微软雅黑" w:eastAsia="微软雅黑" w:cs="微软雅黑"/>
                <w:color w:val="000000"/>
                <w:kern w:val="0"/>
                <w:sz w:val="18"/>
                <w:szCs w:val="18"/>
              </w:rPr>
              <w:cr/>
            </w:r>
            <w:r>
              <w:rPr>
                <w:rFonts w:hint="eastAsia" w:ascii="微软雅黑" w:hAnsi="微软雅黑" w:eastAsia="微软雅黑" w:cs="微软雅黑"/>
                <w:color w:val="000000"/>
                <w:kern w:val="0"/>
                <w:sz w:val="18"/>
                <w:szCs w:val="18"/>
              </w:rPr>
              <w:t>电源：热插拔750W冗余电源，可选直流方式电源；</w:t>
            </w:r>
            <w:r>
              <w:rPr>
                <w:rFonts w:hint="eastAsia" w:ascii="微软雅黑" w:hAnsi="微软雅黑" w:eastAsia="微软雅黑" w:cs="微软雅黑"/>
                <w:color w:val="000000"/>
                <w:kern w:val="0"/>
                <w:sz w:val="18"/>
                <w:szCs w:val="18"/>
              </w:rPr>
              <w:cr/>
            </w:r>
            <w:r>
              <w:rPr>
                <w:rFonts w:hint="eastAsia" w:ascii="微软雅黑" w:hAnsi="微软雅黑" w:eastAsia="微软雅黑" w:cs="微软雅黑"/>
                <w:color w:val="000000"/>
                <w:kern w:val="0"/>
                <w:sz w:val="18"/>
                <w:szCs w:val="18"/>
              </w:rPr>
              <w:t>配件：滑动导轨</w:t>
            </w:r>
            <w:r>
              <w:rPr>
                <w:rFonts w:hint="eastAsia" w:ascii="微软雅黑" w:hAnsi="微软雅黑" w:eastAsia="微软雅黑" w:cs="微软雅黑"/>
                <w:color w:val="000000"/>
                <w:kern w:val="0"/>
                <w:sz w:val="18"/>
                <w:szCs w:val="18"/>
              </w:rPr>
              <w:cr/>
            </w:r>
            <w:r>
              <w:rPr>
                <w:rFonts w:hint="eastAsia" w:ascii="微软雅黑" w:hAnsi="微软雅黑" w:eastAsia="微软雅黑" w:cs="微软雅黑"/>
                <w:color w:val="000000"/>
                <w:kern w:val="0"/>
                <w:sz w:val="18"/>
                <w:szCs w:val="18"/>
              </w:rPr>
              <w:t>服务：原厂3年专业支持硬件上门服务</w:t>
            </w:r>
          </w:p>
          <w:p>
            <w:pPr>
              <w:widowControl/>
              <w:jc w:val="left"/>
              <w:textAlignment w:val="center"/>
              <w:rPr>
                <w:rFonts w:ascii="微软雅黑" w:hAnsi="微软雅黑" w:eastAsia="微软雅黑" w:cs="微软雅黑"/>
                <w:color w:val="000000"/>
                <w:kern w:val="0"/>
                <w:sz w:val="18"/>
                <w:szCs w:val="18"/>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 xml:space="preserve">1.00 </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台</w:t>
            </w:r>
          </w:p>
        </w:tc>
      </w:tr>
      <w:tr>
        <w:tblPrEx>
          <w:tblCellMar>
            <w:top w:w="0" w:type="dxa"/>
            <w:left w:w="0" w:type="dxa"/>
            <w:bottom w:w="0" w:type="dxa"/>
            <w:right w:w="0" w:type="dxa"/>
          </w:tblCellMar>
        </w:tblPrEx>
        <w:trPr>
          <w:trHeight w:val="1189"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11</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综合管理平台</w:t>
            </w:r>
          </w:p>
        </w:tc>
        <w:tc>
          <w:tcPr>
            <w:tcW w:w="112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numPr>
                <w:ilvl w:val="0"/>
                <w:numId w:val="2"/>
              </w:numPr>
              <w:jc w:val="left"/>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综合安防管理平台，支持统一管理视频监控、一卡通、车辆管控、报警检测、综合管控等应用，实现安防系统的智能化应用及统一集成化管理；</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 w:val="18"/>
                <w:szCs w:val="18"/>
              </w:rPr>
              <w:t>2. 最大支持监控点管理容量≥100000路，最大支持用户≥10000个，支持并发在线用户≥1000个；</w:t>
            </w:r>
          </w:p>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3. 支持用户密码有效时间段进行设置管理，支持用户IP绑定，指定IP地址用户才能登陆平台；支持BS、CS客户端以及IOS、Android移动端应用；</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 w:val="18"/>
                <w:szCs w:val="18"/>
              </w:rPr>
              <w:t>4. 支持自动在1/4/6/7/9/16/24画面分隔模式间进行监控点轮巡预览，轮巡时间可设置，支持全屏显示，预览画面支持监控点信息、语音对讲、开关声音、云台与镜头控制、抓图、多图抓拍等；</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 w:val="18"/>
                <w:szCs w:val="18"/>
              </w:rPr>
              <w:t>5. 支持门禁设备接入、管理和控制，支持门禁权限配置和下发，支持卡（含身份证）、人脸、指纹、卡密码等凭证单独或组合使用的认证方式；</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 w:val="18"/>
                <w:szCs w:val="18"/>
              </w:rPr>
              <w:t>6. ▲支持根据用户使用习惯自定义配置快捷功能入口，支持首页投放大屏展示，支持最近7天每日的用户活跃数统计（需提供公安部所属检验机构出具的检测报告复印件并加盖制造商鲜章证明）</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 w:val="18"/>
                <w:szCs w:val="18"/>
              </w:rPr>
              <w:t>7. ▲支持以中心管理服务为核心的网络拓扑结构，支持对系统中的分组、服务器、组件等统计概览、查看；（需提供公安部所属检验机构出具的检测报告复印件并加盖制造商鲜章证明）</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 w:val="18"/>
                <w:szCs w:val="18"/>
              </w:rPr>
              <w:t>8. ▲支持多色彩（红、橙、黄）展示运行告警状态，支持告警统计、概览、处理，支持告警记录查看、查询，支持告警单条、批量处理；支持系统最近7天每日告警数统计，支持评分量化系统监控指数，显示系统运行状态；（需提供公安部所属检验机构出具的检测报告复印件并加盖制造商鲜章证明）</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 w:val="18"/>
                <w:szCs w:val="18"/>
              </w:rPr>
              <w:t>9. ▲支持导航视图管理，对系统内各节点进行查看、增加、删除、修改，展示、查找；支持对系统内所有服务器进行监控，包括名称、IP地址、状态、未处理告警数、CPU使用率、内存使用率、磁盘容量、主机代理版等；支持对系统内所有组件信息进行监控，组件信息包含：组件名称、未处理告警数、所属服务器、最近操作时间、授权状态、维保期限、使用期限等；（需提供公安部所属检验机构出具的检测报告复印件并加盖制造商鲜章证明）</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 w:val="18"/>
                <w:szCs w:val="18"/>
              </w:rPr>
              <w:t>10. ▲支持全景摄像机，实现360度的全景监控，可以对全景区域内的多个目标进行穿越警戒面、区域入侵、进入区域、离开区域行为的检测；（需提供公安部所属检验机构出具的检测报告复印件并加盖制造商鲜章证明）</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 w:val="18"/>
                <w:szCs w:val="18"/>
              </w:rPr>
              <w:t>11. ▲支持对陌生人识别，人脸不在名单内时，系统自动报警；（需提供公安部所属检验机构出具的检测报告复印件并加盖制造商鲜章证明）</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 w:val="18"/>
                <w:szCs w:val="18"/>
              </w:rPr>
              <w:t>12. ▲支持以脸搜脸，对人脸图片进行检索，检索结果支持列表模式和地图模式，地图模式可以按照时间顺序形成人脸轨迹，用于描述目标人员在该区域的移动路线；（需提供公安部所属检验机构出具的检测报告复印件并加盖制造商鲜章证明）</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 w:val="18"/>
                <w:szCs w:val="18"/>
              </w:rPr>
              <w:t>13. 支持获取报警主机所有防区信息，包括扩展防区；支持对扩展防区进行布防、撤防、旁路、旁路恢复操作；支持接收扩展防区上报事件；</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 w:val="18"/>
                <w:szCs w:val="18"/>
              </w:rPr>
              <w:t>14. 支持校时功能，支持对设备和平台服务校时，保证时间一致。</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 xml:space="preserve">1.00 </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套</w:t>
            </w:r>
          </w:p>
        </w:tc>
      </w:tr>
      <w:tr>
        <w:tblPrEx>
          <w:tblCellMar>
            <w:top w:w="0" w:type="dxa"/>
            <w:left w:w="0" w:type="dxa"/>
            <w:bottom w:w="0" w:type="dxa"/>
            <w:right w:w="0" w:type="dxa"/>
          </w:tblCellMar>
        </w:tblPrEx>
        <w:trPr>
          <w:trHeight w:val="1917"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12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生物信息采集仪</w:t>
            </w:r>
          </w:p>
        </w:tc>
        <w:tc>
          <w:tcPr>
            <w:tcW w:w="112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1、≥3.97英寸触摸显示屏，屏幕分辨率≥800*480；</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 w:val="18"/>
                <w:szCs w:val="18"/>
              </w:rPr>
              <w:t>2、采用≥200万双目摄像头，有照片视频防假功能；</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 w:val="18"/>
                <w:szCs w:val="18"/>
              </w:rPr>
              <w:t>3、支持人脸采集、卡片录入（ID/Mifare/CPU/二三代身份证序列号）；</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 w:val="18"/>
                <w:szCs w:val="18"/>
              </w:rPr>
              <w:t>4、支持有线网络、无线WiFi、USB口通信；</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 w:val="18"/>
                <w:szCs w:val="18"/>
              </w:rPr>
              <w:t>▲5、支持在线采集，通过网络协议或USB口对接到平台，平台进行在线采集，采集信息实时上传；</w:t>
            </w:r>
            <w:r>
              <w:rPr>
                <w:rFonts w:hint="eastAsia" w:ascii="微软雅黑" w:hAnsi="微软雅黑" w:eastAsia="微软雅黑" w:cs="微软雅黑"/>
                <w:color w:val="000000"/>
                <w:kern w:val="0"/>
                <w:sz w:val="18"/>
                <w:szCs w:val="18"/>
              </w:rPr>
              <w:br w:type="textWrapping"/>
            </w:r>
            <w:r>
              <w:rPr>
                <w:rFonts w:hint="eastAsia" w:ascii="微软雅黑" w:hAnsi="微软雅黑" w:eastAsia="微软雅黑" w:cs="微软雅黑"/>
                <w:color w:val="000000"/>
                <w:kern w:val="0"/>
                <w:sz w:val="18"/>
                <w:szCs w:val="18"/>
              </w:rPr>
              <w:t>6、尺寸：≥122mm*125mm*138mm</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 xml:space="preserve">5.00 </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台</w:t>
            </w:r>
          </w:p>
        </w:tc>
      </w:tr>
      <w:tr>
        <w:tblPrEx>
          <w:tblCellMar>
            <w:top w:w="0" w:type="dxa"/>
            <w:left w:w="0" w:type="dxa"/>
            <w:bottom w:w="0" w:type="dxa"/>
            <w:right w:w="0" w:type="dxa"/>
          </w:tblCellMar>
        </w:tblPrEx>
        <w:trPr>
          <w:trHeight w:val="1917"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w:t>
            </w:r>
            <w:r>
              <w:rPr>
                <w:rFonts w:ascii="微软雅黑" w:hAnsi="微软雅黑" w:eastAsia="微软雅黑" w:cs="微软雅黑"/>
                <w:color w:val="000000"/>
                <w:kern w:val="0"/>
                <w:sz w:val="18"/>
                <w:szCs w:val="18"/>
              </w:rPr>
              <w:t>3</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网络交换机</w:t>
            </w:r>
          </w:p>
        </w:tc>
        <w:tc>
          <w:tcPr>
            <w:tcW w:w="112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1.▲端口类型≥8个10/100/1000M以太网电接口，≥2个100/1000Base-X SFP端口。</w:t>
            </w:r>
          </w:p>
          <w:p>
            <w:pPr>
              <w:widowControl/>
              <w:jc w:val="left"/>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2.▲交换容量≥192Gbps，包转发率≥30Mpps。</w:t>
            </w:r>
          </w:p>
          <w:p>
            <w:pPr>
              <w:widowControl/>
              <w:jc w:val="left"/>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3.▲支持MAC地址≥8K</w:t>
            </w:r>
          </w:p>
          <w:p>
            <w:pPr>
              <w:widowControl/>
              <w:jc w:val="left"/>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5.▲支持防止ARP、未知组播报文、广播报文、未知单播报文、本机网段路由扫描报文、TTL=1报文、协议报文等攻击功能。要求提供官方界面截图证明。</w:t>
            </w:r>
          </w:p>
          <w:p>
            <w:pPr>
              <w:widowControl/>
              <w:jc w:val="left"/>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5.▲支持MAC地址限制。要求提供官方界面截图证明。</w:t>
            </w:r>
          </w:p>
          <w:p>
            <w:pPr>
              <w:widowControl/>
              <w:jc w:val="left"/>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6.▲支持FTP、TFTP、Xmodem、SFTP文件上下载管理。要求提供官方界面截图证明。</w:t>
            </w:r>
          </w:p>
          <w:p>
            <w:pPr>
              <w:widowControl/>
              <w:jc w:val="left"/>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7.▲支持SNMP V1/V2c/V3。要求提供官方界面截图证明。</w:t>
            </w:r>
          </w:p>
          <w:p>
            <w:pPr>
              <w:widowControl/>
              <w:jc w:val="left"/>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8.▲支持共模防护6KV，防雷4级。要求提供官方界面截图证明。</w:t>
            </w:r>
          </w:p>
          <w:p>
            <w:pPr>
              <w:widowControl/>
              <w:jc w:val="left"/>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9.▲要求所投产品具备CCC证书、入网证书和检测报告。</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6.00</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台</w:t>
            </w:r>
          </w:p>
        </w:tc>
      </w:tr>
      <w:tr>
        <w:tblPrEx>
          <w:tblCellMar>
            <w:top w:w="0" w:type="dxa"/>
            <w:left w:w="0" w:type="dxa"/>
            <w:bottom w:w="0" w:type="dxa"/>
            <w:right w:w="0" w:type="dxa"/>
          </w:tblCellMar>
        </w:tblPrEx>
        <w:trPr>
          <w:trHeight w:val="300"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14</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安装辅材</w:t>
            </w:r>
          </w:p>
        </w:tc>
        <w:tc>
          <w:tcPr>
            <w:tcW w:w="1128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设备安装所需要的光纤、网线、施工线材，人工安装等</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 xml:space="preserve">1.00 </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rPr>
              <w:t>批</w:t>
            </w:r>
          </w:p>
        </w:tc>
      </w:tr>
    </w:tbl>
    <w:p/>
    <w:p/>
    <w:p/>
    <w:p/>
    <w:p/>
    <w:p/>
    <w:p/>
    <w:p/>
    <w:p/>
    <w:p/>
    <w:p/>
    <w:p/>
    <w:p/>
    <w:p/>
    <w:p>
      <w:pPr>
        <w:jc w:val="center"/>
      </w:pPr>
      <w:r>
        <w:rPr>
          <w:rFonts w:hint="eastAsia" w:ascii="黑体" w:hAnsi="黑体" w:eastAsia="黑体" w:cs="宋体"/>
          <w:sz w:val="32"/>
        </w:rPr>
        <w:t>二、评分标准</w:t>
      </w:r>
    </w:p>
    <w:tbl>
      <w:tblPr>
        <w:tblStyle w:val="7"/>
        <w:tblW w:w="1392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7"/>
        <w:gridCol w:w="1069"/>
        <w:gridCol w:w="686"/>
        <w:gridCol w:w="114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17" w:type="dxa"/>
            <w:tcMar>
              <w:left w:w="108" w:type="dxa"/>
              <w:right w:w="108" w:type="dxa"/>
            </w:tcMar>
            <w:vAlign w:val="center"/>
          </w:tcPr>
          <w:p>
            <w:pPr>
              <w:spacing w:line="320" w:lineRule="exact"/>
              <w:jc w:val="center"/>
              <w:rPr>
                <w:rFonts w:hint="eastAsia" w:ascii="微软雅黑" w:hAnsi="微软雅黑" w:eastAsia="微软雅黑" w:cs="微软雅黑"/>
                <w:b/>
                <w:bCs/>
                <w:color w:val="000000"/>
                <w:sz w:val="20"/>
                <w:szCs w:val="22"/>
              </w:rPr>
            </w:pPr>
            <w:r>
              <w:rPr>
                <w:rFonts w:hint="eastAsia" w:ascii="微软雅黑" w:hAnsi="微软雅黑" w:eastAsia="微软雅黑" w:cs="微软雅黑"/>
                <w:b/>
                <w:bCs/>
                <w:color w:val="000000"/>
                <w:sz w:val="20"/>
                <w:szCs w:val="22"/>
              </w:rPr>
              <w:t>序号</w:t>
            </w:r>
          </w:p>
        </w:tc>
        <w:tc>
          <w:tcPr>
            <w:tcW w:w="1069" w:type="dxa"/>
            <w:tcMar>
              <w:left w:w="108" w:type="dxa"/>
              <w:right w:w="108" w:type="dxa"/>
            </w:tcMar>
            <w:vAlign w:val="center"/>
          </w:tcPr>
          <w:p>
            <w:pPr>
              <w:spacing w:line="320" w:lineRule="exact"/>
              <w:jc w:val="center"/>
              <w:rPr>
                <w:rFonts w:hint="eastAsia" w:ascii="微软雅黑" w:hAnsi="微软雅黑" w:eastAsia="微软雅黑" w:cs="微软雅黑"/>
                <w:b/>
                <w:bCs/>
                <w:color w:val="000000"/>
                <w:sz w:val="20"/>
                <w:szCs w:val="22"/>
              </w:rPr>
            </w:pPr>
            <w:r>
              <w:rPr>
                <w:rFonts w:hint="eastAsia" w:ascii="微软雅黑" w:hAnsi="微软雅黑" w:eastAsia="微软雅黑" w:cs="微软雅黑"/>
                <w:b/>
                <w:bCs/>
                <w:color w:val="000000"/>
                <w:sz w:val="20"/>
                <w:szCs w:val="22"/>
              </w:rPr>
              <w:t>评分因素及权重</w:t>
            </w:r>
          </w:p>
        </w:tc>
        <w:tc>
          <w:tcPr>
            <w:tcW w:w="686" w:type="dxa"/>
            <w:tcMar>
              <w:left w:w="108" w:type="dxa"/>
              <w:right w:w="108" w:type="dxa"/>
            </w:tcMar>
            <w:vAlign w:val="center"/>
          </w:tcPr>
          <w:p>
            <w:pPr>
              <w:spacing w:line="320" w:lineRule="exact"/>
              <w:jc w:val="center"/>
              <w:rPr>
                <w:rFonts w:hint="eastAsia" w:ascii="微软雅黑" w:hAnsi="微软雅黑" w:eastAsia="微软雅黑" w:cs="微软雅黑"/>
                <w:b/>
                <w:bCs/>
                <w:color w:val="000000"/>
                <w:sz w:val="20"/>
                <w:szCs w:val="22"/>
              </w:rPr>
            </w:pPr>
            <w:r>
              <w:rPr>
                <w:rFonts w:hint="eastAsia" w:ascii="微软雅黑" w:hAnsi="微软雅黑" w:eastAsia="微软雅黑" w:cs="微软雅黑"/>
                <w:b/>
                <w:bCs/>
                <w:color w:val="000000"/>
                <w:sz w:val="20"/>
                <w:szCs w:val="22"/>
              </w:rPr>
              <w:t>分值</w:t>
            </w:r>
          </w:p>
        </w:tc>
        <w:tc>
          <w:tcPr>
            <w:tcW w:w="11451" w:type="dxa"/>
            <w:tcMar>
              <w:left w:w="108" w:type="dxa"/>
              <w:right w:w="108" w:type="dxa"/>
            </w:tcMar>
            <w:vAlign w:val="center"/>
          </w:tcPr>
          <w:p>
            <w:pPr>
              <w:spacing w:line="320" w:lineRule="exact"/>
              <w:jc w:val="center"/>
              <w:rPr>
                <w:rFonts w:hint="eastAsia" w:ascii="微软雅黑" w:hAnsi="微软雅黑" w:eastAsia="微软雅黑" w:cs="微软雅黑"/>
                <w:b/>
                <w:bCs/>
                <w:color w:val="000000"/>
                <w:sz w:val="20"/>
                <w:szCs w:val="22"/>
              </w:rPr>
            </w:pPr>
            <w:r>
              <w:rPr>
                <w:rFonts w:hint="eastAsia" w:ascii="微软雅黑" w:hAnsi="微软雅黑" w:eastAsia="微软雅黑" w:cs="微软雅黑"/>
                <w:b/>
                <w:bCs/>
                <w:color w:val="000000"/>
                <w:sz w:val="20"/>
                <w:szCs w:val="22"/>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17" w:type="dxa"/>
            <w:tcMar>
              <w:left w:w="108" w:type="dxa"/>
              <w:right w:w="108" w:type="dxa"/>
            </w:tcMar>
            <w:vAlign w:val="center"/>
          </w:tcPr>
          <w:p>
            <w:pPr>
              <w:spacing w:line="320" w:lineRule="exact"/>
              <w:jc w:val="center"/>
              <w:rPr>
                <w:rFonts w:hint="eastAsia" w:ascii="微软雅黑" w:hAnsi="微软雅黑" w:eastAsia="微软雅黑" w:cs="微软雅黑"/>
                <w:color w:val="000000"/>
                <w:sz w:val="20"/>
                <w:szCs w:val="22"/>
              </w:rPr>
            </w:pPr>
            <w:r>
              <w:rPr>
                <w:rFonts w:hint="eastAsia" w:ascii="微软雅黑" w:hAnsi="微软雅黑" w:eastAsia="微软雅黑" w:cs="微软雅黑"/>
                <w:color w:val="000000"/>
                <w:sz w:val="20"/>
                <w:szCs w:val="22"/>
              </w:rPr>
              <w:t>1</w:t>
            </w:r>
          </w:p>
        </w:tc>
        <w:tc>
          <w:tcPr>
            <w:tcW w:w="1069" w:type="dxa"/>
            <w:tcMar>
              <w:left w:w="108" w:type="dxa"/>
              <w:right w:w="108" w:type="dxa"/>
            </w:tcMar>
            <w:vAlign w:val="center"/>
          </w:tcPr>
          <w:p>
            <w:pPr>
              <w:wordWrap w:val="0"/>
              <w:spacing w:line="360" w:lineRule="exact"/>
              <w:rPr>
                <w:rFonts w:hint="eastAsia" w:ascii="微软雅黑" w:hAnsi="微软雅黑" w:eastAsia="微软雅黑" w:cs="微软雅黑"/>
                <w:color w:val="000000"/>
                <w:sz w:val="20"/>
                <w:szCs w:val="22"/>
              </w:rPr>
            </w:pPr>
            <w:r>
              <w:rPr>
                <w:rFonts w:hint="eastAsia" w:ascii="微软雅黑" w:hAnsi="微软雅黑" w:eastAsia="微软雅黑" w:cs="微软雅黑"/>
                <w:color w:val="000000"/>
                <w:sz w:val="20"/>
                <w:szCs w:val="22"/>
              </w:rPr>
              <w:t>价格30%</w:t>
            </w:r>
          </w:p>
        </w:tc>
        <w:tc>
          <w:tcPr>
            <w:tcW w:w="686" w:type="dxa"/>
            <w:tcMar>
              <w:left w:w="108" w:type="dxa"/>
              <w:right w:w="108" w:type="dxa"/>
            </w:tcMar>
            <w:vAlign w:val="center"/>
          </w:tcPr>
          <w:p>
            <w:pPr>
              <w:wordWrap w:val="0"/>
              <w:spacing w:line="360" w:lineRule="exact"/>
              <w:rPr>
                <w:rFonts w:hint="eastAsia" w:ascii="微软雅黑" w:hAnsi="微软雅黑" w:eastAsia="微软雅黑" w:cs="微软雅黑"/>
                <w:color w:val="000000"/>
                <w:sz w:val="20"/>
                <w:szCs w:val="22"/>
              </w:rPr>
            </w:pPr>
            <w:r>
              <w:rPr>
                <w:rFonts w:hint="eastAsia" w:ascii="微软雅黑" w:hAnsi="微软雅黑" w:eastAsia="微软雅黑" w:cs="微软雅黑"/>
                <w:color w:val="000000"/>
                <w:sz w:val="20"/>
                <w:szCs w:val="22"/>
              </w:rPr>
              <w:t>30分</w:t>
            </w:r>
          </w:p>
        </w:tc>
        <w:tc>
          <w:tcPr>
            <w:tcW w:w="11451" w:type="dxa"/>
            <w:tcMar>
              <w:left w:w="108" w:type="dxa"/>
              <w:right w:w="108" w:type="dxa"/>
            </w:tcMar>
            <w:vAlign w:val="center"/>
          </w:tcPr>
          <w:p>
            <w:pPr>
              <w:wordWrap w:val="0"/>
              <w:spacing w:line="360" w:lineRule="exact"/>
              <w:rPr>
                <w:rFonts w:hint="eastAsia" w:ascii="微软雅黑" w:hAnsi="微软雅黑" w:eastAsia="微软雅黑" w:cs="微软雅黑"/>
                <w:color w:val="000000"/>
                <w:sz w:val="20"/>
                <w:szCs w:val="22"/>
              </w:rPr>
            </w:pPr>
            <w:r>
              <w:rPr>
                <w:rFonts w:hint="eastAsia" w:ascii="微软雅黑" w:hAnsi="微软雅黑" w:eastAsia="微软雅黑" w:cs="微软雅黑"/>
                <w:color w:val="000000"/>
                <w:sz w:val="20"/>
                <w:szCs w:val="22"/>
              </w:rPr>
              <w:t>以本次有效的最低投标报价为基准价，投标报价得分=(基准价／投标报价)30分*100%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0" w:hRule="atLeast"/>
        </w:trPr>
        <w:tc>
          <w:tcPr>
            <w:tcW w:w="717" w:type="dxa"/>
            <w:tcMar>
              <w:left w:w="108" w:type="dxa"/>
              <w:right w:w="108" w:type="dxa"/>
            </w:tcMar>
            <w:vAlign w:val="center"/>
          </w:tcPr>
          <w:p>
            <w:pPr>
              <w:spacing w:line="320" w:lineRule="exact"/>
              <w:jc w:val="center"/>
              <w:rPr>
                <w:rFonts w:hint="eastAsia" w:ascii="微软雅黑" w:hAnsi="微软雅黑" w:eastAsia="微软雅黑" w:cs="微软雅黑"/>
                <w:color w:val="000000"/>
                <w:sz w:val="20"/>
                <w:szCs w:val="22"/>
              </w:rPr>
            </w:pPr>
            <w:r>
              <w:rPr>
                <w:rFonts w:hint="eastAsia" w:ascii="微软雅黑" w:hAnsi="微软雅黑" w:eastAsia="微软雅黑" w:cs="微软雅黑"/>
                <w:color w:val="000000"/>
                <w:sz w:val="20"/>
                <w:szCs w:val="22"/>
              </w:rPr>
              <w:t>2</w:t>
            </w:r>
          </w:p>
        </w:tc>
        <w:tc>
          <w:tcPr>
            <w:tcW w:w="1069" w:type="dxa"/>
            <w:tcMar>
              <w:left w:w="108" w:type="dxa"/>
              <w:right w:w="108" w:type="dxa"/>
            </w:tcMar>
            <w:vAlign w:val="center"/>
          </w:tcPr>
          <w:p>
            <w:pPr>
              <w:wordWrap w:val="0"/>
              <w:spacing w:line="360" w:lineRule="exact"/>
              <w:rPr>
                <w:rFonts w:hint="eastAsia" w:ascii="微软雅黑" w:hAnsi="微软雅黑" w:eastAsia="微软雅黑" w:cs="微软雅黑"/>
                <w:color w:val="000000"/>
                <w:sz w:val="20"/>
                <w:szCs w:val="22"/>
              </w:rPr>
            </w:pPr>
            <w:r>
              <w:rPr>
                <w:rFonts w:hint="eastAsia" w:ascii="微软雅黑" w:hAnsi="微软雅黑" w:eastAsia="微软雅黑" w:cs="微软雅黑"/>
                <w:color w:val="000000"/>
                <w:sz w:val="20"/>
                <w:szCs w:val="22"/>
              </w:rPr>
              <w:t>技术指标和配置</w:t>
            </w:r>
          </w:p>
          <w:p>
            <w:pPr>
              <w:wordWrap w:val="0"/>
              <w:spacing w:line="360" w:lineRule="exact"/>
              <w:rPr>
                <w:rFonts w:hint="eastAsia" w:ascii="微软雅黑" w:hAnsi="微软雅黑" w:eastAsia="微软雅黑" w:cs="微软雅黑"/>
                <w:color w:val="000000"/>
                <w:sz w:val="20"/>
                <w:szCs w:val="22"/>
              </w:rPr>
            </w:pPr>
            <w:r>
              <w:rPr>
                <w:rFonts w:hint="eastAsia" w:ascii="微软雅黑" w:hAnsi="微软雅黑" w:eastAsia="微软雅黑" w:cs="微软雅黑"/>
                <w:color w:val="000000"/>
                <w:sz w:val="20"/>
                <w:szCs w:val="22"/>
              </w:rPr>
              <w:t>45%</w:t>
            </w:r>
          </w:p>
        </w:tc>
        <w:tc>
          <w:tcPr>
            <w:tcW w:w="686" w:type="dxa"/>
            <w:tcMar>
              <w:left w:w="108" w:type="dxa"/>
              <w:right w:w="108" w:type="dxa"/>
            </w:tcMar>
            <w:vAlign w:val="center"/>
          </w:tcPr>
          <w:p>
            <w:pPr>
              <w:wordWrap w:val="0"/>
              <w:spacing w:line="360" w:lineRule="exact"/>
              <w:rPr>
                <w:rFonts w:hint="eastAsia" w:ascii="微软雅黑" w:hAnsi="微软雅黑" w:eastAsia="微软雅黑" w:cs="微软雅黑"/>
                <w:color w:val="000000"/>
                <w:sz w:val="20"/>
                <w:szCs w:val="22"/>
              </w:rPr>
            </w:pPr>
            <w:r>
              <w:rPr>
                <w:rFonts w:hint="eastAsia" w:ascii="微软雅黑" w:hAnsi="微软雅黑" w:eastAsia="微软雅黑" w:cs="微软雅黑"/>
                <w:color w:val="000000"/>
                <w:sz w:val="20"/>
                <w:szCs w:val="22"/>
              </w:rPr>
              <w:t>45分</w:t>
            </w:r>
          </w:p>
        </w:tc>
        <w:tc>
          <w:tcPr>
            <w:tcW w:w="11451" w:type="dxa"/>
            <w:tcMar>
              <w:left w:w="108" w:type="dxa"/>
              <w:right w:w="108" w:type="dxa"/>
            </w:tcMar>
            <w:vAlign w:val="center"/>
          </w:tcPr>
          <w:p>
            <w:pPr>
              <w:widowControl/>
              <w:spacing w:line="380" w:lineRule="exact"/>
              <w:rPr>
                <w:rFonts w:hint="eastAsia" w:ascii="微软雅黑" w:hAnsi="微软雅黑" w:eastAsia="微软雅黑" w:cs="微软雅黑"/>
                <w:color w:val="000000"/>
                <w:sz w:val="20"/>
                <w:szCs w:val="22"/>
              </w:rPr>
            </w:pPr>
            <w:r>
              <w:rPr>
                <w:rFonts w:hint="eastAsia" w:ascii="微软雅黑" w:hAnsi="微软雅黑" w:eastAsia="微软雅黑" w:cs="微软雅黑"/>
                <w:color w:val="000000"/>
                <w:sz w:val="20"/>
                <w:szCs w:val="22"/>
              </w:rPr>
              <w:t>投标人所投产品技术参数完全满足招标文件技术指标和配置要求的得45分；若与招标文件技术指标和配置要求有负偏离的，按以下要求进行扣分：</w:t>
            </w:r>
          </w:p>
          <w:p>
            <w:pPr>
              <w:widowControl/>
              <w:numPr>
                <w:ilvl w:val="0"/>
                <w:numId w:val="3"/>
              </w:numPr>
              <w:spacing w:line="380" w:lineRule="exact"/>
              <w:rPr>
                <w:rFonts w:hint="eastAsia" w:ascii="微软雅黑" w:hAnsi="微软雅黑" w:eastAsia="微软雅黑" w:cs="微软雅黑"/>
                <w:color w:val="000000"/>
                <w:sz w:val="20"/>
                <w:szCs w:val="22"/>
              </w:rPr>
            </w:pPr>
            <w:r>
              <w:rPr>
                <w:rFonts w:hint="eastAsia" w:ascii="微软雅黑" w:hAnsi="微软雅黑" w:eastAsia="微软雅黑" w:cs="微软雅黑"/>
                <w:color w:val="000000"/>
                <w:sz w:val="20"/>
                <w:szCs w:val="22"/>
              </w:rPr>
              <w:t>招标文件技术参数及功能要求明细中带“▲”号条款作为重要指标要求，“▲”号条款每有一项负偏离的在45分的基础上扣3分，扣完为止。</w:t>
            </w:r>
          </w:p>
          <w:p>
            <w:pPr>
              <w:widowControl/>
              <w:spacing w:line="380" w:lineRule="exact"/>
              <w:rPr>
                <w:rFonts w:hint="eastAsia" w:ascii="微软雅黑" w:hAnsi="微软雅黑" w:eastAsia="微软雅黑" w:cs="微软雅黑"/>
                <w:color w:val="000000"/>
                <w:sz w:val="20"/>
                <w:szCs w:val="22"/>
              </w:rPr>
            </w:pPr>
            <w:r>
              <w:rPr>
                <w:rFonts w:hint="eastAsia" w:ascii="微软雅黑" w:hAnsi="微软雅黑" w:eastAsia="微软雅黑" w:cs="微软雅黑"/>
                <w:color w:val="000000"/>
                <w:sz w:val="20"/>
                <w:szCs w:val="22"/>
              </w:rPr>
              <w:t>2、招标文件技术参数及功能要求明细中非“▲”号条款每有一项负偏离的在45分基础上扣1分，扣完为止。</w:t>
            </w:r>
          </w:p>
          <w:p>
            <w:pPr>
              <w:widowControl/>
              <w:spacing w:line="380" w:lineRule="exact"/>
              <w:rPr>
                <w:rFonts w:hint="eastAsia" w:ascii="微软雅黑" w:hAnsi="微软雅黑" w:eastAsia="微软雅黑" w:cs="微软雅黑"/>
                <w:color w:val="000000"/>
                <w:sz w:val="20"/>
                <w:szCs w:val="22"/>
                <w:lang w:eastAsia="zh-CN"/>
              </w:rPr>
            </w:pPr>
            <w:r>
              <w:rPr>
                <w:rFonts w:hint="eastAsia" w:ascii="微软雅黑" w:hAnsi="微软雅黑" w:eastAsia="微软雅黑" w:cs="微软雅黑"/>
                <w:color w:val="000000"/>
                <w:sz w:val="20"/>
                <w:szCs w:val="22"/>
              </w:rPr>
              <w:t>注：投标人技术参数要求得分等于以上两部分得分之和</w:t>
            </w:r>
            <w:r>
              <w:rPr>
                <w:rFonts w:hint="eastAsia" w:ascii="微软雅黑" w:hAnsi="微软雅黑" w:eastAsia="微软雅黑" w:cs="微软雅黑"/>
                <w:color w:val="000000"/>
                <w:sz w:val="20"/>
                <w:szCs w:val="22"/>
                <w:lang w:eastAsia="zh-CN"/>
              </w:rPr>
              <w:t>；</w:t>
            </w:r>
            <w:r>
              <w:rPr>
                <w:rFonts w:hint="eastAsia" w:ascii="微软雅黑" w:hAnsi="微软雅黑" w:eastAsia="微软雅黑" w:cs="微软雅黑"/>
                <w:color w:val="000000"/>
                <w:sz w:val="20"/>
                <w:szCs w:val="22"/>
              </w:rPr>
              <w:t>上述加▲部分参数的评审依据以第三方权威检测机构出具的检验（测）报告</w:t>
            </w:r>
            <w:r>
              <w:rPr>
                <w:rFonts w:hint="eastAsia" w:ascii="微软雅黑" w:hAnsi="微软雅黑" w:eastAsia="微软雅黑" w:cs="微软雅黑"/>
                <w:color w:val="000000"/>
                <w:sz w:val="20"/>
                <w:szCs w:val="22"/>
                <w:lang w:eastAsia="zh-CN"/>
              </w:rPr>
              <w:t>、</w:t>
            </w:r>
            <w:r>
              <w:rPr>
                <w:rFonts w:hint="eastAsia" w:ascii="微软雅黑" w:hAnsi="微软雅黑" w:eastAsia="微软雅黑" w:cs="微软雅黑"/>
                <w:color w:val="000000"/>
                <w:sz w:val="20"/>
                <w:szCs w:val="22"/>
              </w:rPr>
              <w:t>厂家发布的技术白皮书</w:t>
            </w:r>
            <w:r>
              <w:rPr>
                <w:rFonts w:hint="eastAsia" w:ascii="微软雅黑" w:hAnsi="微软雅黑" w:eastAsia="微软雅黑" w:cs="微软雅黑"/>
                <w:color w:val="000000"/>
                <w:sz w:val="20"/>
                <w:szCs w:val="22"/>
                <w:lang w:eastAsia="zh-CN"/>
              </w:rPr>
              <w:t>、</w:t>
            </w:r>
            <w:r>
              <w:rPr>
                <w:rFonts w:hint="eastAsia" w:ascii="微软雅黑" w:hAnsi="微软雅黑" w:eastAsia="微软雅黑" w:cs="微软雅黑"/>
                <w:color w:val="000000"/>
                <w:sz w:val="20"/>
                <w:szCs w:val="22"/>
              </w:rPr>
              <w:t>厂家宣传资料等证明材料中标注的数据为准（参数中对证明材料有明确要求的除外），带▲号部分参数的证明材料未提供或未按要求提供的，作负偏离处理</w:t>
            </w:r>
            <w:r>
              <w:rPr>
                <w:rFonts w:hint="eastAsia" w:ascii="微软雅黑" w:hAnsi="微软雅黑" w:eastAsia="微软雅黑" w:cs="微软雅黑"/>
                <w:color w:val="000000"/>
                <w:sz w:val="20"/>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5" w:hRule="atLeast"/>
        </w:trPr>
        <w:tc>
          <w:tcPr>
            <w:tcW w:w="717" w:type="dxa"/>
            <w:tcMar>
              <w:left w:w="108" w:type="dxa"/>
              <w:right w:w="108" w:type="dxa"/>
            </w:tcMar>
            <w:vAlign w:val="center"/>
          </w:tcPr>
          <w:p>
            <w:pPr>
              <w:spacing w:line="320" w:lineRule="exact"/>
              <w:jc w:val="center"/>
              <w:rPr>
                <w:rFonts w:hint="eastAsia" w:ascii="微软雅黑" w:hAnsi="微软雅黑" w:eastAsia="微软雅黑" w:cs="微软雅黑"/>
                <w:color w:val="000000"/>
                <w:sz w:val="20"/>
                <w:szCs w:val="22"/>
              </w:rPr>
            </w:pPr>
            <w:r>
              <w:rPr>
                <w:rFonts w:hint="eastAsia" w:ascii="微软雅黑" w:hAnsi="微软雅黑" w:eastAsia="微软雅黑" w:cs="微软雅黑"/>
                <w:color w:val="000000"/>
                <w:sz w:val="20"/>
                <w:szCs w:val="22"/>
              </w:rPr>
              <w:t>3</w:t>
            </w:r>
          </w:p>
        </w:tc>
        <w:tc>
          <w:tcPr>
            <w:tcW w:w="1069" w:type="dxa"/>
            <w:tcMar>
              <w:left w:w="108" w:type="dxa"/>
              <w:right w:w="108" w:type="dxa"/>
            </w:tcMar>
            <w:vAlign w:val="center"/>
          </w:tcPr>
          <w:p>
            <w:pPr>
              <w:wordWrap w:val="0"/>
              <w:spacing w:line="360" w:lineRule="exact"/>
              <w:rPr>
                <w:rFonts w:hint="eastAsia" w:ascii="微软雅黑" w:hAnsi="微软雅黑" w:eastAsia="微软雅黑" w:cs="微软雅黑"/>
                <w:color w:val="000000"/>
                <w:sz w:val="20"/>
                <w:szCs w:val="22"/>
              </w:rPr>
            </w:pPr>
            <w:r>
              <w:rPr>
                <w:rFonts w:hint="eastAsia" w:ascii="微软雅黑" w:hAnsi="微软雅黑" w:eastAsia="微软雅黑" w:cs="微软雅黑"/>
                <w:color w:val="000000"/>
                <w:sz w:val="20"/>
                <w:szCs w:val="22"/>
              </w:rPr>
              <w:t>投标产品信誉</w:t>
            </w:r>
            <w:r>
              <w:rPr>
                <w:rFonts w:hint="eastAsia" w:ascii="微软雅黑" w:hAnsi="微软雅黑" w:eastAsia="微软雅黑" w:cs="微软雅黑"/>
                <w:color w:val="000000"/>
                <w:sz w:val="20"/>
                <w:szCs w:val="22"/>
                <w:lang w:val="en-US" w:eastAsia="zh-CN"/>
              </w:rPr>
              <w:t>9</w:t>
            </w:r>
            <w:r>
              <w:rPr>
                <w:rFonts w:hint="eastAsia" w:ascii="微软雅黑" w:hAnsi="微软雅黑" w:eastAsia="微软雅黑" w:cs="微软雅黑"/>
                <w:color w:val="000000"/>
                <w:sz w:val="20"/>
                <w:szCs w:val="22"/>
              </w:rPr>
              <w:t>%</w:t>
            </w:r>
          </w:p>
        </w:tc>
        <w:tc>
          <w:tcPr>
            <w:tcW w:w="686" w:type="dxa"/>
            <w:tcMar>
              <w:left w:w="108" w:type="dxa"/>
              <w:right w:w="108" w:type="dxa"/>
            </w:tcMar>
            <w:vAlign w:val="center"/>
          </w:tcPr>
          <w:p>
            <w:pPr>
              <w:wordWrap w:val="0"/>
              <w:spacing w:line="360" w:lineRule="exact"/>
              <w:rPr>
                <w:rFonts w:hint="eastAsia" w:ascii="微软雅黑" w:hAnsi="微软雅黑" w:eastAsia="微软雅黑" w:cs="微软雅黑"/>
                <w:color w:val="000000"/>
                <w:sz w:val="20"/>
                <w:szCs w:val="22"/>
              </w:rPr>
            </w:pPr>
            <w:r>
              <w:rPr>
                <w:rFonts w:hint="eastAsia" w:ascii="微软雅黑" w:hAnsi="微软雅黑" w:eastAsia="微软雅黑" w:cs="微软雅黑"/>
                <w:color w:val="000000"/>
                <w:sz w:val="20"/>
                <w:szCs w:val="22"/>
                <w:lang w:val="en-US" w:eastAsia="zh-CN"/>
              </w:rPr>
              <w:t>9</w:t>
            </w:r>
            <w:r>
              <w:rPr>
                <w:rFonts w:hint="eastAsia" w:ascii="微软雅黑" w:hAnsi="微软雅黑" w:eastAsia="微软雅黑" w:cs="微软雅黑"/>
                <w:color w:val="000000"/>
                <w:sz w:val="20"/>
                <w:szCs w:val="22"/>
              </w:rPr>
              <w:t>分</w:t>
            </w:r>
          </w:p>
        </w:tc>
        <w:tc>
          <w:tcPr>
            <w:tcW w:w="11451" w:type="dxa"/>
            <w:tcMar>
              <w:left w:w="108" w:type="dxa"/>
              <w:right w:w="108" w:type="dxa"/>
            </w:tcMar>
            <w:vAlign w:val="center"/>
          </w:tcPr>
          <w:p>
            <w:pPr>
              <w:widowControl/>
              <w:numPr>
                <w:ilvl w:val="0"/>
                <w:numId w:val="0"/>
              </w:numPr>
              <w:spacing w:line="380" w:lineRule="exact"/>
              <w:rPr>
                <w:rFonts w:hint="eastAsia" w:ascii="微软雅黑" w:hAnsi="微软雅黑" w:eastAsia="微软雅黑" w:cs="微软雅黑"/>
                <w:color w:val="000000"/>
                <w:sz w:val="20"/>
                <w:szCs w:val="22"/>
              </w:rPr>
            </w:pPr>
            <w:r>
              <w:rPr>
                <w:rFonts w:hint="eastAsia" w:ascii="微软雅黑" w:hAnsi="微软雅黑" w:eastAsia="微软雅黑" w:cs="微软雅黑"/>
                <w:color w:val="000000"/>
                <w:sz w:val="20"/>
                <w:szCs w:val="22"/>
                <w:lang w:val="en-US" w:eastAsia="zh-CN"/>
              </w:rPr>
              <w:t>1、</w:t>
            </w:r>
            <w:r>
              <w:rPr>
                <w:rFonts w:hint="eastAsia" w:ascii="微软雅黑" w:hAnsi="微软雅黑" w:eastAsia="微软雅黑" w:cs="微软雅黑"/>
                <w:color w:val="000000"/>
                <w:sz w:val="20"/>
                <w:szCs w:val="22"/>
              </w:rPr>
              <w:t xml:space="preserve">所投服务器产品制造商具有较强的信息管理能力，具有 ISO 信息安全管理体系认证证书的得 3 分， 没有不得分。（须提供有效证明材料复印件） </w:t>
            </w:r>
          </w:p>
          <w:p>
            <w:pPr>
              <w:widowControl/>
              <w:numPr>
                <w:ilvl w:val="0"/>
                <w:numId w:val="0"/>
              </w:numPr>
              <w:spacing w:line="380" w:lineRule="exact"/>
              <w:rPr>
                <w:rFonts w:hint="eastAsia" w:ascii="微软雅黑" w:hAnsi="微软雅黑" w:eastAsia="微软雅黑" w:cs="微软雅黑"/>
                <w:color w:val="000000"/>
                <w:sz w:val="20"/>
                <w:szCs w:val="22"/>
              </w:rPr>
            </w:pPr>
            <w:r>
              <w:rPr>
                <w:rFonts w:hint="eastAsia" w:ascii="微软雅黑" w:hAnsi="微软雅黑" w:eastAsia="微软雅黑" w:cs="微软雅黑"/>
                <w:color w:val="000000"/>
                <w:sz w:val="20"/>
                <w:szCs w:val="22"/>
                <w:lang w:val="en-US" w:eastAsia="zh-CN"/>
              </w:rPr>
              <w:t>2、</w:t>
            </w:r>
            <w:r>
              <w:rPr>
                <w:rFonts w:hint="eastAsia" w:ascii="微软雅黑" w:hAnsi="微软雅黑" w:eastAsia="微软雅黑" w:cs="微软雅黑"/>
                <w:color w:val="000000"/>
                <w:sz w:val="20"/>
                <w:szCs w:val="22"/>
              </w:rPr>
              <w:t xml:space="preserve">为保证产品和系统的安全性，投标人或所投门禁管理软件产品制造商为中国信息安全测评中心国家信息安全漏洞库（CNNVD）技术支撑单位，一级得 3 分，二级或以下得 1 分，没有不得分。（须提供有效证明材料复印件） </w:t>
            </w:r>
          </w:p>
          <w:p>
            <w:pPr>
              <w:widowControl/>
              <w:numPr>
                <w:ilvl w:val="0"/>
                <w:numId w:val="0"/>
              </w:numPr>
              <w:spacing w:line="380" w:lineRule="exact"/>
              <w:rPr>
                <w:rFonts w:hint="eastAsia" w:ascii="微软雅黑" w:hAnsi="微软雅黑" w:eastAsia="微软雅黑" w:cs="微软雅黑"/>
                <w:color w:val="000000"/>
                <w:sz w:val="20"/>
                <w:szCs w:val="22"/>
              </w:rPr>
            </w:pPr>
            <w:r>
              <w:rPr>
                <w:rFonts w:hint="eastAsia" w:ascii="微软雅黑" w:hAnsi="微软雅黑" w:eastAsia="微软雅黑" w:cs="微软雅黑"/>
                <w:color w:val="000000"/>
                <w:sz w:val="20"/>
                <w:szCs w:val="22"/>
                <w:lang w:val="en-US" w:eastAsia="zh-CN"/>
              </w:rPr>
              <w:t>3、</w:t>
            </w:r>
            <w:r>
              <w:rPr>
                <w:rFonts w:hint="eastAsia" w:ascii="微软雅黑" w:hAnsi="微软雅黑" w:eastAsia="微软雅黑" w:cs="微软雅黑"/>
                <w:color w:val="000000"/>
                <w:sz w:val="20"/>
                <w:szCs w:val="22"/>
              </w:rPr>
              <w:t xml:space="preserve">所投测温人脸识别主机产品制造商具备较强的技术研发实力，获得过国家科学技术进步奖的得 3 分，获得过省级科学技术进步奖的得 1 分，没有不得分。（须提供有效证明材料复印件）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6" w:hRule="atLeast"/>
        </w:trPr>
        <w:tc>
          <w:tcPr>
            <w:tcW w:w="717" w:type="dxa"/>
            <w:tcMar>
              <w:left w:w="108" w:type="dxa"/>
              <w:right w:w="108" w:type="dxa"/>
            </w:tcMar>
            <w:vAlign w:val="center"/>
          </w:tcPr>
          <w:p>
            <w:pPr>
              <w:spacing w:line="320" w:lineRule="exact"/>
              <w:jc w:val="center"/>
              <w:rPr>
                <w:rFonts w:hint="eastAsia" w:ascii="微软雅黑" w:hAnsi="微软雅黑" w:eastAsia="微软雅黑" w:cs="微软雅黑"/>
                <w:color w:val="000000"/>
                <w:sz w:val="20"/>
                <w:szCs w:val="22"/>
              </w:rPr>
            </w:pPr>
            <w:r>
              <w:rPr>
                <w:rFonts w:hint="eastAsia" w:ascii="微软雅黑" w:hAnsi="微软雅黑" w:eastAsia="微软雅黑" w:cs="微软雅黑"/>
                <w:color w:val="000000"/>
                <w:sz w:val="20"/>
                <w:szCs w:val="22"/>
              </w:rPr>
              <w:t>4</w:t>
            </w:r>
          </w:p>
        </w:tc>
        <w:tc>
          <w:tcPr>
            <w:tcW w:w="1069" w:type="dxa"/>
            <w:tcMar>
              <w:left w:w="108" w:type="dxa"/>
              <w:right w:w="108" w:type="dxa"/>
            </w:tcMar>
            <w:vAlign w:val="center"/>
          </w:tcPr>
          <w:p>
            <w:pPr>
              <w:wordWrap w:val="0"/>
              <w:spacing w:line="360" w:lineRule="exact"/>
              <w:rPr>
                <w:rFonts w:hint="eastAsia" w:ascii="微软雅黑" w:hAnsi="微软雅黑" w:eastAsia="微软雅黑" w:cs="微软雅黑"/>
                <w:color w:val="000000"/>
                <w:sz w:val="20"/>
                <w:szCs w:val="22"/>
              </w:rPr>
            </w:pPr>
            <w:r>
              <w:rPr>
                <w:rFonts w:hint="eastAsia" w:ascii="微软雅黑" w:hAnsi="微软雅黑" w:eastAsia="微软雅黑" w:cs="微软雅黑"/>
                <w:color w:val="000000"/>
                <w:sz w:val="20"/>
                <w:szCs w:val="22"/>
              </w:rPr>
              <w:t>售后服务</w:t>
            </w:r>
            <w:r>
              <w:rPr>
                <w:rFonts w:hint="eastAsia" w:ascii="微软雅黑" w:hAnsi="微软雅黑" w:eastAsia="微软雅黑" w:cs="微软雅黑"/>
                <w:color w:val="000000"/>
                <w:sz w:val="20"/>
                <w:szCs w:val="22"/>
                <w:lang w:val="en-US" w:eastAsia="zh-CN"/>
              </w:rPr>
              <w:t>12</w:t>
            </w:r>
            <w:r>
              <w:rPr>
                <w:rFonts w:hint="eastAsia" w:ascii="微软雅黑" w:hAnsi="微软雅黑" w:eastAsia="微软雅黑" w:cs="微软雅黑"/>
                <w:color w:val="000000"/>
                <w:sz w:val="20"/>
                <w:szCs w:val="22"/>
              </w:rPr>
              <w:t>%</w:t>
            </w:r>
          </w:p>
        </w:tc>
        <w:tc>
          <w:tcPr>
            <w:tcW w:w="686" w:type="dxa"/>
            <w:tcMar>
              <w:left w:w="108" w:type="dxa"/>
              <w:right w:w="108" w:type="dxa"/>
            </w:tcMar>
            <w:vAlign w:val="center"/>
          </w:tcPr>
          <w:p>
            <w:pPr>
              <w:wordWrap w:val="0"/>
              <w:spacing w:line="360" w:lineRule="exact"/>
              <w:rPr>
                <w:rFonts w:hint="eastAsia" w:ascii="微软雅黑" w:hAnsi="微软雅黑" w:eastAsia="微软雅黑" w:cs="微软雅黑"/>
                <w:color w:val="000000"/>
                <w:sz w:val="20"/>
                <w:szCs w:val="22"/>
              </w:rPr>
            </w:pPr>
            <w:r>
              <w:rPr>
                <w:rFonts w:hint="eastAsia" w:ascii="微软雅黑" w:hAnsi="微软雅黑" w:eastAsia="微软雅黑" w:cs="微软雅黑"/>
                <w:color w:val="000000"/>
                <w:sz w:val="20"/>
                <w:szCs w:val="22"/>
                <w:lang w:val="en-US" w:eastAsia="zh-CN"/>
              </w:rPr>
              <w:t>12</w:t>
            </w:r>
            <w:r>
              <w:rPr>
                <w:rFonts w:hint="eastAsia" w:ascii="微软雅黑" w:hAnsi="微软雅黑" w:eastAsia="微软雅黑" w:cs="微软雅黑"/>
                <w:color w:val="000000"/>
                <w:sz w:val="20"/>
                <w:szCs w:val="22"/>
              </w:rPr>
              <w:t>分</w:t>
            </w:r>
          </w:p>
        </w:tc>
        <w:tc>
          <w:tcPr>
            <w:tcW w:w="11451" w:type="dxa"/>
            <w:tcMar>
              <w:left w:w="108" w:type="dxa"/>
              <w:right w:w="108" w:type="dxa"/>
            </w:tcMar>
            <w:vAlign w:val="center"/>
          </w:tcPr>
          <w:p>
            <w:pPr>
              <w:numPr>
                <w:ilvl w:val="0"/>
                <w:numId w:val="4"/>
              </w:numPr>
              <w:wordWrap w:val="0"/>
              <w:spacing w:line="380" w:lineRule="exact"/>
              <w:jc w:val="left"/>
              <w:rPr>
                <w:rFonts w:hint="eastAsia" w:ascii="微软雅黑" w:hAnsi="微软雅黑" w:eastAsia="微软雅黑" w:cs="微软雅黑"/>
                <w:color w:val="000000"/>
                <w:sz w:val="20"/>
                <w:szCs w:val="22"/>
                <w:lang w:eastAsia="zh-CN"/>
              </w:rPr>
            </w:pPr>
            <w:r>
              <w:rPr>
                <w:rFonts w:hint="eastAsia" w:ascii="微软雅黑" w:hAnsi="微软雅黑" w:eastAsia="微软雅黑" w:cs="微软雅黑"/>
                <w:color w:val="000000"/>
                <w:sz w:val="20"/>
                <w:szCs w:val="22"/>
              </w:rPr>
              <w:t>对供应商针对本项目提供的售后服务方案（至少包 括质保期及应急响应时间、售后人员配备、应用培训 方案、售后服务及应急保障措施四部分）进行综合评审，方案全面详细、质保期限长、应急响应及时、售后人员配备科学全面、应用培训方案合理可行、售后服务及应急保障措施详细全面，方案各部分内容全面 详细、阐述条理清晰详尽、细节明确，与本项目相关 要求紧密结合，能让本项目售后服务有保障的得</w:t>
            </w:r>
            <w:r>
              <w:rPr>
                <w:rFonts w:hint="eastAsia" w:ascii="微软雅黑" w:hAnsi="微软雅黑" w:eastAsia="微软雅黑" w:cs="微软雅黑"/>
                <w:color w:val="000000"/>
                <w:sz w:val="20"/>
                <w:szCs w:val="22"/>
                <w:lang w:val="en-US" w:eastAsia="zh-CN"/>
              </w:rPr>
              <w:t>3</w:t>
            </w:r>
            <w:r>
              <w:rPr>
                <w:rFonts w:hint="eastAsia" w:ascii="微软雅黑" w:hAnsi="微软雅黑" w:eastAsia="微软雅黑" w:cs="微软雅黑"/>
                <w:color w:val="000000"/>
                <w:sz w:val="20"/>
                <w:szCs w:val="22"/>
              </w:rPr>
              <w:t>分</w:t>
            </w:r>
            <w:r>
              <w:rPr>
                <w:rFonts w:hint="eastAsia" w:ascii="微软雅黑" w:hAnsi="微软雅黑" w:eastAsia="微软雅黑" w:cs="微软雅黑"/>
                <w:color w:val="000000"/>
                <w:sz w:val="20"/>
                <w:szCs w:val="22"/>
                <w:lang w:eastAsia="zh-CN"/>
              </w:rPr>
              <w:t>。</w:t>
            </w:r>
          </w:p>
          <w:p>
            <w:pPr>
              <w:numPr>
                <w:ilvl w:val="0"/>
                <w:numId w:val="4"/>
              </w:numPr>
              <w:wordWrap w:val="0"/>
              <w:spacing w:line="380" w:lineRule="exact"/>
              <w:jc w:val="left"/>
              <w:rPr>
                <w:rFonts w:hint="eastAsia" w:ascii="微软雅黑" w:hAnsi="微软雅黑" w:eastAsia="微软雅黑" w:cs="微软雅黑"/>
                <w:color w:val="000000"/>
                <w:sz w:val="20"/>
                <w:szCs w:val="22"/>
              </w:rPr>
            </w:pPr>
            <w:r>
              <w:rPr>
                <w:rFonts w:hint="eastAsia" w:ascii="微软雅黑" w:hAnsi="微软雅黑" w:eastAsia="微软雅黑" w:cs="微软雅黑"/>
                <w:color w:val="000000"/>
                <w:sz w:val="20"/>
                <w:szCs w:val="22"/>
              </w:rPr>
              <w:t>满足售后服务要求，投标人在接到业主方故障报修电话后</w:t>
            </w:r>
            <w:r>
              <w:rPr>
                <w:rFonts w:hint="eastAsia" w:ascii="微软雅黑" w:hAnsi="微软雅黑" w:eastAsia="微软雅黑" w:cs="微软雅黑"/>
                <w:color w:val="000000"/>
                <w:sz w:val="20"/>
                <w:szCs w:val="22"/>
                <w:lang w:val="en-US" w:eastAsia="zh-CN"/>
              </w:rPr>
              <w:t>1</w:t>
            </w:r>
            <w:r>
              <w:rPr>
                <w:rFonts w:hint="eastAsia" w:ascii="微软雅黑" w:hAnsi="微软雅黑" w:eastAsia="微软雅黑" w:cs="微软雅黑"/>
                <w:color w:val="000000"/>
                <w:sz w:val="20"/>
                <w:szCs w:val="22"/>
              </w:rPr>
              <w:t>小时内上门服务的得</w:t>
            </w:r>
            <w:r>
              <w:rPr>
                <w:rFonts w:hint="eastAsia" w:ascii="微软雅黑" w:hAnsi="微软雅黑" w:eastAsia="微软雅黑" w:cs="微软雅黑"/>
                <w:color w:val="000000"/>
                <w:sz w:val="20"/>
                <w:szCs w:val="22"/>
                <w:lang w:val="en-US" w:eastAsia="zh-CN"/>
              </w:rPr>
              <w:t>3</w:t>
            </w:r>
            <w:r>
              <w:rPr>
                <w:rFonts w:hint="eastAsia" w:ascii="微软雅黑" w:hAnsi="微软雅黑" w:eastAsia="微软雅黑" w:cs="微软雅黑"/>
                <w:color w:val="000000"/>
                <w:sz w:val="20"/>
                <w:szCs w:val="22"/>
              </w:rPr>
              <w:t>分；投标人在接到业主方故障报修电话后</w:t>
            </w:r>
            <w:r>
              <w:rPr>
                <w:rFonts w:hint="eastAsia" w:ascii="微软雅黑" w:hAnsi="微软雅黑" w:eastAsia="微软雅黑" w:cs="微软雅黑"/>
                <w:color w:val="000000"/>
                <w:sz w:val="20"/>
                <w:szCs w:val="22"/>
                <w:lang w:val="en-US" w:eastAsia="zh-CN"/>
              </w:rPr>
              <w:t>1-2</w:t>
            </w:r>
            <w:r>
              <w:rPr>
                <w:rFonts w:hint="eastAsia" w:ascii="微软雅黑" w:hAnsi="微软雅黑" w:eastAsia="微软雅黑" w:cs="微软雅黑"/>
                <w:color w:val="000000"/>
                <w:sz w:val="20"/>
                <w:szCs w:val="22"/>
              </w:rPr>
              <w:t>小时内上门服务的得</w:t>
            </w:r>
            <w:r>
              <w:rPr>
                <w:rFonts w:hint="eastAsia" w:ascii="微软雅黑" w:hAnsi="微软雅黑" w:eastAsia="微软雅黑" w:cs="微软雅黑"/>
                <w:color w:val="000000"/>
                <w:sz w:val="20"/>
                <w:szCs w:val="22"/>
                <w:lang w:val="en-US" w:eastAsia="zh-CN"/>
              </w:rPr>
              <w:t>1</w:t>
            </w:r>
            <w:r>
              <w:rPr>
                <w:rFonts w:hint="eastAsia" w:ascii="微软雅黑" w:hAnsi="微软雅黑" w:eastAsia="微软雅黑" w:cs="微软雅黑"/>
                <w:color w:val="000000"/>
                <w:sz w:val="20"/>
                <w:szCs w:val="22"/>
              </w:rPr>
              <w:t>分；上门服务响应时间超过</w:t>
            </w:r>
            <w:r>
              <w:rPr>
                <w:rFonts w:hint="eastAsia" w:ascii="微软雅黑" w:hAnsi="微软雅黑" w:eastAsia="微软雅黑" w:cs="微软雅黑"/>
                <w:color w:val="000000"/>
                <w:sz w:val="20"/>
                <w:szCs w:val="22"/>
                <w:lang w:val="en-US" w:eastAsia="zh-CN"/>
              </w:rPr>
              <w:t>2</w:t>
            </w:r>
            <w:r>
              <w:rPr>
                <w:rFonts w:hint="eastAsia" w:ascii="微软雅黑" w:hAnsi="微软雅黑" w:eastAsia="微软雅黑" w:cs="微软雅黑"/>
                <w:color w:val="000000"/>
                <w:sz w:val="20"/>
                <w:szCs w:val="22"/>
              </w:rPr>
              <w:t>小时的不得分。</w:t>
            </w:r>
            <w:r>
              <w:rPr>
                <w:rFonts w:hint="eastAsia" w:ascii="微软雅黑" w:hAnsi="微软雅黑" w:eastAsia="微软雅黑" w:cs="微软雅黑"/>
                <w:color w:val="000000"/>
                <w:sz w:val="20"/>
                <w:szCs w:val="22"/>
                <w:lang w:eastAsia="zh-CN"/>
              </w:rPr>
              <w:t>（</w:t>
            </w:r>
            <w:r>
              <w:rPr>
                <w:rFonts w:hint="eastAsia" w:ascii="微软雅黑" w:hAnsi="微软雅黑" w:eastAsia="微软雅黑" w:cs="微软雅黑"/>
                <w:color w:val="000000"/>
                <w:sz w:val="20"/>
                <w:szCs w:val="22"/>
              </w:rPr>
              <w:t>须提供</w:t>
            </w:r>
            <w:r>
              <w:rPr>
                <w:rFonts w:hint="eastAsia" w:ascii="微软雅黑" w:hAnsi="微软雅黑" w:eastAsia="微软雅黑" w:cs="微软雅黑"/>
                <w:color w:val="000000"/>
                <w:sz w:val="20"/>
                <w:szCs w:val="22"/>
                <w:lang w:val="en-US" w:eastAsia="zh-CN"/>
              </w:rPr>
              <w:t>服务网点</w:t>
            </w:r>
            <w:r>
              <w:rPr>
                <w:rFonts w:hint="eastAsia" w:ascii="微软雅黑" w:hAnsi="微软雅黑" w:eastAsia="微软雅黑" w:cs="微软雅黑"/>
                <w:color w:val="000000"/>
                <w:sz w:val="20"/>
                <w:szCs w:val="22"/>
              </w:rPr>
              <w:t>有效证明材料</w:t>
            </w:r>
            <w:r>
              <w:rPr>
                <w:rFonts w:hint="eastAsia" w:ascii="微软雅黑" w:hAnsi="微软雅黑" w:eastAsia="微软雅黑" w:cs="微软雅黑"/>
                <w:color w:val="000000"/>
                <w:sz w:val="20"/>
                <w:szCs w:val="22"/>
                <w:lang w:eastAsia="zh-CN"/>
              </w:rPr>
              <w:t>）</w:t>
            </w:r>
          </w:p>
          <w:p>
            <w:pPr>
              <w:numPr>
                <w:ilvl w:val="0"/>
                <w:numId w:val="4"/>
              </w:numPr>
              <w:wordWrap w:val="0"/>
              <w:spacing w:line="380" w:lineRule="exact"/>
              <w:jc w:val="left"/>
              <w:rPr>
                <w:rFonts w:hint="eastAsia" w:ascii="微软雅黑" w:hAnsi="微软雅黑" w:eastAsia="微软雅黑" w:cs="微软雅黑"/>
                <w:color w:val="000000"/>
                <w:sz w:val="20"/>
                <w:szCs w:val="22"/>
              </w:rPr>
            </w:pPr>
            <w:r>
              <w:rPr>
                <w:rFonts w:hint="eastAsia" w:ascii="微软雅黑" w:hAnsi="微软雅黑" w:eastAsia="微软雅黑" w:cs="微软雅黑"/>
                <w:color w:val="000000"/>
                <w:sz w:val="20"/>
                <w:szCs w:val="22"/>
              </w:rPr>
              <w:t>投标人所投门禁测温人脸识别机产品制造商具有完善的售后服务体系，通过售后服务体系完善程度认证，达到七星/卓越级或以上的得3分，六星/优秀级的得2分，五星/达标级的得1分，未提供的不得分。提供有效期内的证书复印件并加盖证书持有单位公章。</w:t>
            </w:r>
          </w:p>
          <w:p>
            <w:pPr>
              <w:numPr>
                <w:ilvl w:val="0"/>
                <w:numId w:val="4"/>
              </w:numPr>
              <w:wordWrap w:val="0"/>
              <w:spacing w:line="380" w:lineRule="exact"/>
              <w:jc w:val="left"/>
              <w:rPr>
                <w:rFonts w:hint="eastAsia" w:ascii="微软雅黑" w:hAnsi="微软雅黑" w:eastAsia="微软雅黑" w:cs="微软雅黑"/>
                <w:color w:val="000000"/>
                <w:sz w:val="20"/>
                <w:szCs w:val="22"/>
                <w:lang w:val="en-US" w:eastAsia="zh-CN"/>
              </w:rPr>
            </w:pPr>
            <w:r>
              <w:rPr>
                <w:rFonts w:hint="eastAsia" w:ascii="微软雅黑" w:hAnsi="微软雅黑" w:eastAsia="微软雅黑" w:cs="微软雅黑"/>
                <w:color w:val="000000"/>
                <w:sz w:val="20"/>
                <w:szCs w:val="22"/>
                <w:lang w:val="en-US" w:eastAsia="zh-CN"/>
              </w:rPr>
              <w:t>支持与将医院现有门禁系统、人脸识别系统和设备纳入统一管理。能完全对接的得3分，部分对接的得1分，其余不得分。</w:t>
            </w:r>
            <w:r>
              <w:rPr>
                <w:rFonts w:hint="eastAsia" w:ascii="微软雅黑" w:hAnsi="微软雅黑" w:eastAsia="微软雅黑" w:cs="微软雅黑"/>
                <w:color w:val="000000"/>
                <w:sz w:val="20"/>
                <w:szCs w:val="22"/>
              </w:rPr>
              <w:t>提供有效期内的证书复印件并加盖证书持有单位公章。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17" w:type="dxa"/>
            <w:tcMar>
              <w:left w:w="108" w:type="dxa"/>
              <w:right w:w="108" w:type="dxa"/>
            </w:tcMar>
            <w:vAlign w:val="center"/>
          </w:tcPr>
          <w:p>
            <w:pPr>
              <w:wordWrap w:val="0"/>
              <w:spacing w:line="380" w:lineRule="exact"/>
              <w:rPr>
                <w:rFonts w:hint="default" w:ascii="微软雅黑" w:hAnsi="微软雅黑" w:eastAsia="微软雅黑" w:cs="微软雅黑"/>
                <w:color w:val="000000"/>
                <w:sz w:val="20"/>
                <w:szCs w:val="22"/>
                <w:lang w:val="en-US" w:eastAsia="zh-CN"/>
              </w:rPr>
            </w:pPr>
            <w:r>
              <w:rPr>
                <w:rFonts w:hint="eastAsia" w:ascii="微软雅黑" w:hAnsi="微软雅黑" w:eastAsia="微软雅黑" w:cs="微软雅黑"/>
                <w:color w:val="000000"/>
                <w:sz w:val="20"/>
                <w:szCs w:val="22"/>
                <w:lang w:val="en-US" w:eastAsia="zh-CN"/>
              </w:rPr>
              <w:t>5</w:t>
            </w:r>
          </w:p>
        </w:tc>
        <w:tc>
          <w:tcPr>
            <w:tcW w:w="1069" w:type="dxa"/>
            <w:tcMar>
              <w:left w:w="108" w:type="dxa"/>
              <w:right w:w="108" w:type="dxa"/>
            </w:tcMar>
            <w:vAlign w:val="center"/>
          </w:tcPr>
          <w:p>
            <w:pPr>
              <w:wordWrap w:val="0"/>
              <w:spacing w:line="380" w:lineRule="exact"/>
              <w:rPr>
                <w:rFonts w:hint="eastAsia" w:ascii="微软雅黑" w:hAnsi="微软雅黑" w:eastAsia="微软雅黑" w:cs="微软雅黑"/>
                <w:color w:val="000000"/>
                <w:sz w:val="20"/>
                <w:szCs w:val="22"/>
              </w:rPr>
            </w:pPr>
            <w:r>
              <w:rPr>
                <w:rFonts w:hint="eastAsia" w:ascii="微软雅黑" w:hAnsi="微软雅黑" w:eastAsia="微软雅黑" w:cs="微软雅黑"/>
                <w:color w:val="000000"/>
                <w:sz w:val="20"/>
                <w:szCs w:val="22"/>
              </w:rPr>
              <w:t>政策支持</w:t>
            </w:r>
          </w:p>
          <w:p>
            <w:pPr>
              <w:wordWrap w:val="0"/>
              <w:spacing w:line="380" w:lineRule="exact"/>
              <w:rPr>
                <w:rFonts w:hint="default" w:ascii="微软雅黑" w:hAnsi="微软雅黑" w:eastAsia="微软雅黑" w:cs="微软雅黑"/>
                <w:color w:val="000000"/>
                <w:sz w:val="20"/>
                <w:szCs w:val="22"/>
                <w:lang w:val="en-US" w:eastAsia="zh-CN"/>
              </w:rPr>
            </w:pPr>
            <w:r>
              <w:rPr>
                <w:rFonts w:hint="eastAsia" w:ascii="微软雅黑" w:hAnsi="微软雅黑" w:eastAsia="微软雅黑" w:cs="微软雅黑"/>
                <w:color w:val="000000"/>
                <w:sz w:val="20"/>
                <w:szCs w:val="22"/>
                <w:lang w:val="en-US" w:eastAsia="zh-CN"/>
              </w:rPr>
              <w:t>2%</w:t>
            </w:r>
          </w:p>
        </w:tc>
        <w:tc>
          <w:tcPr>
            <w:tcW w:w="686" w:type="dxa"/>
            <w:tcMar>
              <w:left w:w="108" w:type="dxa"/>
              <w:right w:w="108" w:type="dxa"/>
            </w:tcMar>
            <w:vAlign w:val="center"/>
          </w:tcPr>
          <w:p>
            <w:pPr>
              <w:wordWrap w:val="0"/>
              <w:spacing w:line="380" w:lineRule="exact"/>
              <w:rPr>
                <w:rFonts w:hint="default" w:ascii="微软雅黑" w:hAnsi="微软雅黑" w:eastAsia="微软雅黑" w:cs="微软雅黑"/>
                <w:color w:val="000000"/>
                <w:sz w:val="20"/>
                <w:szCs w:val="22"/>
                <w:lang w:val="en-US" w:eastAsia="zh-CN"/>
              </w:rPr>
            </w:pPr>
            <w:r>
              <w:rPr>
                <w:rFonts w:hint="eastAsia" w:ascii="微软雅黑" w:hAnsi="微软雅黑" w:eastAsia="微软雅黑" w:cs="微软雅黑"/>
                <w:color w:val="000000"/>
                <w:sz w:val="20"/>
                <w:szCs w:val="22"/>
                <w:lang w:val="en-US" w:eastAsia="zh-CN"/>
              </w:rPr>
              <w:t>2分</w:t>
            </w:r>
          </w:p>
        </w:tc>
        <w:tc>
          <w:tcPr>
            <w:tcW w:w="11451" w:type="dxa"/>
            <w:tcMar>
              <w:left w:w="108" w:type="dxa"/>
              <w:right w:w="108" w:type="dxa"/>
            </w:tcMar>
            <w:vAlign w:val="center"/>
          </w:tcPr>
          <w:p>
            <w:pPr>
              <w:wordWrap w:val="0"/>
              <w:spacing w:line="380" w:lineRule="exact"/>
              <w:rPr>
                <w:rFonts w:hint="eastAsia" w:ascii="微软雅黑" w:hAnsi="微软雅黑" w:eastAsia="微软雅黑" w:cs="微软雅黑"/>
                <w:color w:val="000000"/>
                <w:sz w:val="20"/>
                <w:szCs w:val="22"/>
              </w:rPr>
            </w:pPr>
            <w:r>
              <w:rPr>
                <w:rFonts w:hint="eastAsia" w:ascii="微软雅黑" w:hAnsi="微软雅黑" w:eastAsia="微软雅黑" w:cs="微软雅黑"/>
                <w:color w:val="000000"/>
                <w:sz w:val="20"/>
                <w:szCs w:val="22"/>
              </w:rPr>
              <w:t xml:space="preserve">投标产品被认定为节能产品（政府强制采购产品除 外）或环境标志产品或无线局域网产品的，每提供 1 项得 0.5 分，最多得 1 分。非节能产品、环境标志产品、无线局域网产品的不得分。（须提供相关产品的 节能或环境标志产品或无线局域网产品认证证书复 印件并加盖供应商单位鲜章） </w:t>
            </w:r>
          </w:p>
          <w:p>
            <w:pPr>
              <w:wordWrap w:val="0"/>
              <w:spacing w:line="380" w:lineRule="exact"/>
              <w:rPr>
                <w:rFonts w:hint="default" w:ascii="微软雅黑" w:hAnsi="微软雅黑" w:eastAsia="微软雅黑" w:cs="微软雅黑"/>
                <w:color w:val="000000"/>
                <w:sz w:val="20"/>
                <w:szCs w:val="22"/>
                <w:lang w:val="en-US" w:eastAsia="zh-CN"/>
              </w:rPr>
            </w:pPr>
            <w:r>
              <w:rPr>
                <w:rFonts w:hint="eastAsia" w:ascii="微软雅黑" w:hAnsi="微软雅黑" w:eastAsia="微软雅黑" w:cs="微软雅黑"/>
                <w:color w:val="000000"/>
                <w:sz w:val="20"/>
                <w:szCs w:val="22"/>
              </w:rPr>
              <w:t xml:space="preserve">2.供应商注册地为不发达地区或少数民族地区企业 的得 1 分。（供应商提供公司为不发达地区企业或少 数民族地区的申明和相关证明材料） </w:t>
            </w:r>
            <w:r>
              <w:rPr>
                <w:rFonts w:hint="eastAsia" w:ascii="微软雅黑" w:hAnsi="微软雅黑" w:eastAsia="微软雅黑" w:cs="微软雅黑"/>
                <w:color w:val="000000"/>
                <w:sz w:val="20"/>
                <w:szCs w:val="22"/>
                <w:lang w:eastAsia="zh-CN"/>
              </w:rPr>
              <w:t>，</w:t>
            </w:r>
            <w:r>
              <w:rPr>
                <w:rFonts w:hint="eastAsia" w:ascii="微软雅黑" w:hAnsi="微软雅黑" w:eastAsia="微软雅黑" w:cs="微软雅黑"/>
                <w:color w:val="000000"/>
                <w:sz w:val="20"/>
                <w:szCs w:val="22"/>
                <w:lang w:val="en-US" w:eastAsia="zh-CN"/>
              </w:rPr>
              <w:t>未提供不得分。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17" w:type="dxa"/>
            <w:tcMar>
              <w:left w:w="108" w:type="dxa"/>
              <w:right w:w="108" w:type="dxa"/>
            </w:tcMar>
            <w:vAlign w:val="center"/>
          </w:tcPr>
          <w:p>
            <w:pPr>
              <w:wordWrap w:val="0"/>
              <w:spacing w:line="380" w:lineRule="exact"/>
              <w:rPr>
                <w:rFonts w:hint="default" w:ascii="微软雅黑" w:hAnsi="微软雅黑" w:eastAsia="微软雅黑" w:cs="微软雅黑"/>
                <w:color w:val="000000"/>
                <w:sz w:val="20"/>
                <w:szCs w:val="22"/>
                <w:lang w:val="en-US" w:eastAsia="zh-CN"/>
              </w:rPr>
            </w:pPr>
            <w:r>
              <w:rPr>
                <w:rFonts w:hint="eastAsia" w:ascii="微软雅黑" w:hAnsi="微软雅黑" w:eastAsia="微软雅黑" w:cs="微软雅黑"/>
                <w:color w:val="000000"/>
                <w:sz w:val="20"/>
                <w:szCs w:val="22"/>
                <w:lang w:val="en-US" w:eastAsia="zh-CN"/>
              </w:rPr>
              <w:t>6</w:t>
            </w:r>
          </w:p>
        </w:tc>
        <w:tc>
          <w:tcPr>
            <w:tcW w:w="1069" w:type="dxa"/>
            <w:tcMar>
              <w:left w:w="108" w:type="dxa"/>
              <w:right w:w="108" w:type="dxa"/>
            </w:tcMar>
            <w:vAlign w:val="center"/>
          </w:tcPr>
          <w:p>
            <w:pPr>
              <w:wordWrap w:val="0"/>
              <w:spacing w:line="380" w:lineRule="exact"/>
              <w:rPr>
                <w:rFonts w:hint="eastAsia" w:ascii="微软雅黑" w:hAnsi="微软雅黑" w:eastAsia="微软雅黑" w:cs="微软雅黑"/>
                <w:color w:val="000000"/>
                <w:sz w:val="20"/>
                <w:szCs w:val="22"/>
                <w:lang w:val="en-US" w:eastAsia="zh-CN"/>
              </w:rPr>
            </w:pPr>
            <w:r>
              <w:rPr>
                <w:rFonts w:hint="eastAsia" w:ascii="微软雅黑" w:hAnsi="微软雅黑" w:eastAsia="微软雅黑" w:cs="微软雅黑"/>
                <w:color w:val="000000"/>
                <w:sz w:val="20"/>
                <w:szCs w:val="22"/>
              </w:rPr>
              <w:t>投标文件的规范性2%</w:t>
            </w:r>
          </w:p>
        </w:tc>
        <w:tc>
          <w:tcPr>
            <w:tcW w:w="686" w:type="dxa"/>
            <w:tcMar>
              <w:left w:w="108" w:type="dxa"/>
              <w:right w:w="108" w:type="dxa"/>
            </w:tcMar>
            <w:vAlign w:val="center"/>
          </w:tcPr>
          <w:p>
            <w:pPr>
              <w:wordWrap w:val="0"/>
              <w:spacing w:line="380" w:lineRule="exact"/>
              <w:rPr>
                <w:rFonts w:hint="eastAsia" w:ascii="微软雅黑" w:hAnsi="微软雅黑" w:eastAsia="微软雅黑" w:cs="微软雅黑"/>
                <w:color w:val="000000"/>
                <w:sz w:val="20"/>
                <w:szCs w:val="22"/>
                <w:lang w:val="en-US" w:eastAsia="zh-CN"/>
              </w:rPr>
            </w:pPr>
            <w:r>
              <w:rPr>
                <w:rFonts w:hint="eastAsia" w:ascii="微软雅黑" w:hAnsi="微软雅黑" w:eastAsia="微软雅黑" w:cs="微软雅黑"/>
                <w:color w:val="000000"/>
                <w:sz w:val="20"/>
                <w:szCs w:val="22"/>
                <w:lang w:val="en-US" w:eastAsia="zh-CN"/>
              </w:rPr>
              <w:t>2分</w:t>
            </w:r>
          </w:p>
        </w:tc>
        <w:tc>
          <w:tcPr>
            <w:tcW w:w="11451" w:type="dxa"/>
            <w:tcMar>
              <w:left w:w="108" w:type="dxa"/>
              <w:right w:w="108" w:type="dxa"/>
            </w:tcMar>
            <w:vAlign w:val="center"/>
          </w:tcPr>
          <w:p>
            <w:pPr>
              <w:wordWrap w:val="0"/>
              <w:spacing w:line="380" w:lineRule="exact"/>
              <w:rPr>
                <w:rFonts w:hint="eastAsia" w:ascii="微软雅黑" w:hAnsi="微软雅黑" w:eastAsia="微软雅黑" w:cs="微软雅黑"/>
                <w:color w:val="000000"/>
                <w:sz w:val="20"/>
                <w:szCs w:val="22"/>
              </w:rPr>
            </w:pPr>
            <w:r>
              <w:rPr>
                <w:rFonts w:hint="eastAsia" w:ascii="微软雅黑" w:hAnsi="微软雅黑" w:eastAsia="微软雅黑" w:cs="微软雅黑"/>
                <w:color w:val="000000"/>
                <w:sz w:val="20"/>
                <w:szCs w:val="22"/>
              </w:rPr>
              <w:t>投标文件制作规范，没有细微偏差情形的得2分；有一项细微偏差扣0.5分，直至该项分值扣完为止。</w:t>
            </w:r>
          </w:p>
        </w:tc>
      </w:tr>
    </w:tbl>
    <w:p/>
    <w:p>
      <w:pPr>
        <w:jc w:val="center"/>
        <w:rPr>
          <w:rFonts w:hint="eastAsia" w:ascii="黑体" w:hAnsi="黑体" w:eastAsia="黑体" w:cs="宋体"/>
          <w:sz w:val="32"/>
        </w:rPr>
      </w:pPr>
    </w:p>
    <w:p>
      <w:pPr>
        <w:jc w:val="center"/>
        <w:rPr>
          <w:rFonts w:hint="eastAsia" w:ascii="黑体" w:hAnsi="黑体" w:eastAsia="黑体" w:cs="宋体"/>
          <w:sz w:val="32"/>
        </w:rPr>
      </w:pPr>
    </w:p>
    <w:p>
      <w:pPr>
        <w:ind w:firstLine="420" w:firstLineChars="0"/>
        <w:jc w:val="center"/>
        <w:rPr>
          <w:rFonts w:ascii="黑体" w:hAnsi="黑体" w:eastAsia="黑体" w:cs="宋体"/>
          <w:sz w:val="32"/>
        </w:rPr>
      </w:pPr>
      <w:r>
        <w:rPr>
          <w:rFonts w:hint="eastAsia" w:ascii="黑体" w:hAnsi="黑体" w:eastAsia="黑体" w:cs="宋体"/>
          <w:sz w:val="32"/>
        </w:rPr>
        <w:t>三、商务要求</w:t>
      </w:r>
    </w:p>
    <w:tbl>
      <w:tblPr>
        <w:tblStyle w:val="7"/>
        <w:tblW w:w="13928" w:type="dxa"/>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740"/>
        <w:gridCol w:w="2899"/>
        <w:gridCol w:w="10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78" w:hRule="atLeast"/>
        </w:trPr>
        <w:tc>
          <w:tcPr>
            <w:tcW w:w="740" w:type="dxa"/>
            <w:shd w:val="clear" w:color="auto" w:fill="FFFFFF"/>
            <w:vAlign w:val="center"/>
          </w:tcPr>
          <w:p>
            <w:pPr>
              <w:adjustRightInd w:val="0"/>
              <w:spacing w:line="320" w:lineRule="exact"/>
              <w:jc w:val="center"/>
              <w:rPr>
                <w:rFonts w:ascii="微软雅黑" w:hAnsi="微软雅黑" w:eastAsia="微软雅黑"/>
                <w:b/>
                <w:bCs/>
                <w:spacing w:val="8"/>
                <w:sz w:val="20"/>
                <w:szCs w:val="20"/>
              </w:rPr>
            </w:pPr>
            <w:r>
              <w:rPr>
                <w:rFonts w:hint="eastAsia" w:ascii="微软雅黑" w:hAnsi="微软雅黑" w:eastAsia="微软雅黑"/>
                <w:b/>
                <w:bCs/>
                <w:spacing w:val="8"/>
                <w:sz w:val="20"/>
                <w:szCs w:val="20"/>
              </w:rPr>
              <w:t>序号</w:t>
            </w:r>
          </w:p>
        </w:tc>
        <w:tc>
          <w:tcPr>
            <w:tcW w:w="2899" w:type="dxa"/>
            <w:shd w:val="clear" w:color="auto" w:fill="FFFFFF"/>
            <w:vAlign w:val="center"/>
          </w:tcPr>
          <w:p>
            <w:pPr>
              <w:adjustRightInd w:val="0"/>
              <w:spacing w:line="320" w:lineRule="exact"/>
              <w:jc w:val="center"/>
              <w:rPr>
                <w:rFonts w:ascii="微软雅黑" w:hAnsi="微软雅黑" w:eastAsia="微软雅黑"/>
                <w:b/>
                <w:bCs/>
                <w:spacing w:val="8"/>
                <w:sz w:val="20"/>
                <w:szCs w:val="20"/>
              </w:rPr>
            </w:pPr>
            <w:r>
              <w:rPr>
                <w:rFonts w:hint="eastAsia" w:ascii="微软雅黑" w:hAnsi="微软雅黑" w:eastAsia="微软雅黑"/>
                <w:b/>
                <w:bCs/>
                <w:spacing w:val="8"/>
                <w:sz w:val="20"/>
                <w:szCs w:val="20"/>
              </w:rPr>
              <w:t>内容</w:t>
            </w:r>
          </w:p>
        </w:tc>
        <w:tc>
          <w:tcPr>
            <w:tcW w:w="10289" w:type="dxa"/>
            <w:shd w:val="clear" w:color="auto" w:fill="FFFFFF"/>
            <w:vAlign w:val="center"/>
          </w:tcPr>
          <w:p>
            <w:pPr>
              <w:adjustRightInd w:val="0"/>
              <w:spacing w:line="320" w:lineRule="exact"/>
              <w:jc w:val="center"/>
              <w:rPr>
                <w:rFonts w:ascii="微软雅黑" w:hAnsi="微软雅黑" w:eastAsia="微软雅黑"/>
                <w:b/>
                <w:bCs/>
                <w:spacing w:val="8"/>
                <w:sz w:val="20"/>
                <w:szCs w:val="20"/>
              </w:rPr>
            </w:pPr>
            <w:r>
              <w:rPr>
                <w:rFonts w:hint="eastAsia" w:ascii="微软雅黑" w:hAnsi="微软雅黑" w:eastAsia="微软雅黑"/>
                <w:b/>
                <w:bCs/>
                <w:spacing w:val="8"/>
                <w:sz w:val="20"/>
                <w:szCs w:val="20"/>
              </w:rPr>
              <w:t>招标采购要求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97" w:hRule="atLeast"/>
        </w:trPr>
        <w:tc>
          <w:tcPr>
            <w:tcW w:w="740" w:type="dxa"/>
            <w:shd w:val="clear" w:color="auto" w:fill="FFFFFF"/>
            <w:vAlign w:val="center"/>
          </w:tcPr>
          <w:p>
            <w:pPr>
              <w:adjustRightInd w:val="0"/>
              <w:spacing w:line="320" w:lineRule="exact"/>
              <w:jc w:val="center"/>
              <w:rPr>
                <w:rFonts w:ascii="微软雅黑" w:hAnsi="微软雅黑" w:eastAsia="微软雅黑" w:cs="宋体"/>
                <w:kern w:val="0"/>
                <w:sz w:val="20"/>
                <w:szCs w:val="28"/>
                <w:lang w:val="zh-CN"/>
              </w:rPr>
            </w:pPr>
            <w:r>
              <w:rPr>
                <w:rFonts w:hint="eastAsia" w:ascii="微软雅黑" w:hAnsi="微软雅黑" w:eastAsia="微软雅黑" w:cs="宋体"/>
                <w:kern w:val="0"/>
                <w:sz w:val="20"/>
                <w:szCs w:val="28"/>
                <w:lang w:val="zh-CN"/>
              </w:rPr>
              <w:t>1</w:t>
            </w:r>
          </w:p>
        </w:tc>
        <w:tc>
          <w:tcPr>
            <w:tcW w:w="2899" w:type="dxa"/>
            <w:shd w:val="clear" w:color="auto" w:fill="FFFFFF"/>
            <w:vAlign w:val="center"/>
          </w:tcPr>
          <w:p>
            <w:pPr>
              <w:adjustRightInd w:val="0"/>
              <w:spacing w:line="320" w:lineRule="exact"/>
              <w:jc w:val="both"/>
              <w:rPr>
                <w:rFonts w:ascii="微软雅黑" w:hAnsi="微软雅黑" w:eastAsia="微软雅黑" w:cs="宋体"/>
                <w:kern w:val="0"/>
                <w:sz w:val="20"/>
                <w:szCs w:val="28"/>
                <w:lang w:val="zh-CN"/>
              </w:rPr>
            </w:pPr>
            <w:r>
              <w:rPr>
                <w:rFonts w:hint="eastAsia" w:ascii="微软雅黑" w:hAnsi="微软雅黑" w:eastAsia="微软雅黑" w:cs="宋体"/>
                <w:kern w:val="0"/>
                <w:sz w:val="20"/>
                <w:szCs w:val="28"/>
                <w:lang w:val="zh-CN"/>
              </w:rPr>
              <w:t>交货时间/工期要求</w:t>
            </w:r>
          </w:p>
        </w:tc>
        <w:tc>
          <w:tcPr>
            <w:tcW w:w="10289" w:type="dxa"/>
            <w:shd w:val="clear" w:color="auto" w:fill="FFFFFF"/>
            <w:vAlign w:val="center"/>
          </w:tcPr>
          <w:p>
            <w:pPr>
              <w:adjustRightInd w:val="0"/>
              <w:spacing w:line="320" w:lineRule="exact"/>
              <w:jc w:val="both"/>
              <w:rPr>
                <w:rFonts w:ascii="微软雅黑" w:hAnsi="微软雅黑" w:eastAsia="微软雅黑"/>
                <w:bCs/>
                <w:spacing w:val="8"/>
                <w:sz w:val="20"/>
                <w:szCs w:val="28"/>
              </w:rPr>
            </w:pPr>
            <w:r>
              <w:rPr>
                <w:rFonts w:hint="eastAsia" w:ascii="微软雅黑" w:hAnsi="微软雅黑" w:eastAsia="微软雅黑" w:cs="宋体"/>
                <w:sz w:val="20"/>
                <w:szCs w:val="28"/>
              </w:rPr>
              <w:t>签订合同后7个工作日内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40" w:type="dxa"/>
            <w:shd w:val="clear" w:color="auto" w:fill="FFFFFF"/>
            <w:vAlign w:val="center"/>
          </w:tcPr>
          <w:p>
            <w:pPr>
              <w:adjustRightInd w:val="0"/>
              <w:spacing w:line="320" w:lineRule="exact"/>
              <w:jc w:val="center"/>
              <w:rPr>
                <w:rFonts w:ascii="微软雅黑" w:hAnsi="微软雅黑" w:eastAsia="微软雅黑" w:cs="宋体"/>
                <w:kern w:val="0"/>
                <w:sz w:val="20"/>
                <w:szCs w:val="28"/>
                <w:lang w:val="zh-CN"/>
              </w:rPr>
            </w:pPr>
            <w:r>
              <w:rPr>
                <w:rFonts w:hint="eastAsia" w:ascii="微软雅黑" w:hAnsi="微软雅黑" w:eastAsia="微软雅黑" w:cs="宋体"/>
                <w:kern w:val="0"/>
                <w:sz w:val="20"/>
                <w:szCs w:val="28"/>
                <w:lang w:val="zh-CN"/>
              </w:rPr>
              <w:t>2</w:t>
            </w:r>
          </w:p>
        </w:tc>
        <w:tc>
          <w:tcPr>
            <w:tcW w:w="2899" w:type="dxa"/>
            <w:shd w:val="clear" w:color="auto" w:fill="FFFFFF"/>
            <w:vAlign w:val="center"/>
          </w:tcPr>
          <w:p>
            <w:pPr>
              <w:adjustRightInd w:val="0"/>
              <w:spacing w:line="320" w:lineRule="exact"/>
              <w:jc w:val="both"/>
              <w:rPr>
                <w:rFonts w:ascii="微软雅黑" w:hAnsi="微软雅黑" w:eastAsia="微软雅黑" w:cs="宋体"/>
                <w:kern w:val="0"/>
                <w:sz w:val="20"/>
                <w:szCs w:val="28"/>
                <w:lang w:val="zh-CN"/>
              </w:rPr>
            </w:pPr>
            <w:r>
              <w:rPr>
                <w:rFonts w:hint="eastAsia" w:ascii="微软雅黑" w:hAnsi="微软雅黑" w:eastAsia="微软雅黑" w:cs="宋体"/>
                <w:kern w:val="0"/>
                <w:sz w:val="20"/>
                <w:szCs w:val="28"/>
                <w:lang w:val="zh-CN"/>
              </w:rPr>
              <w:t>项目履约保证及实施要求</w:t>
            </w:r>
          </w:p>
        </w:tc>
        <w:tc>
          <w:tcPr>
            <w:tcW w:w="10289" w:type="dxa"/>
            <w:shd w:val="clear" w:color="auto" w:fill="FFFFFF"/>
            <w:vAlign w:val="center"/>
          </w:tcPr>
          <w:p>
            <w:pPr>
              <w:numPr>
                <w:ilvl w:val="0"/>
                <w:numId w:val="5"/>
              </w:numPr>
              <w:spacing w:line="360" w:lineRule="auto"/>
              <w:jc w:val="both"/>
              <w:rPr>
                <w:rFonts w:hint="eastAsia" w:ascii="微软雅黑" w:hAnsi="微软雅黑" w:eastAsia="微软雅黑" w:cs="宋体"/>
                <w:sz w:val="20"/>
                <w:szCs w:val="28"/>
              </w:rPr>
            </w:pPr>
            <w:r>
              <w:rPr>
                <w:rFonts w:hint="eastAsia" w:ascii="微软雅黑" w:hAnsi="微软雅黑" w:eastAsia="微软雅黑" w:cs="宋体"/>
                <w:sz w:val="20"/>
                <w:szCs w:val="28"/>
              </w:rPr>
              <w:t>评标结束2个工作日内，中标人须按采购人要求提供样机（品）</w:t>
            </w:r>
            <w:r>
              <w:rPr>
                <w:rFonts w:hint="eastAsia" w:ascii="微软雅黑" w:hAnsi="微软雅黑" w:eastAsia="微软雅黑" w:cs="宋体"/>
                <w:sz w:val="20"/>
                <w:szCs w:val="28"/>
                <w:lang w:val="en-US" w:eastAsia="zh-CN"/>
              </w:rPr>
              <w:t>和 公安部所属机构出具的生物信息采集设备的相关授权文件</w:t>
            </w:r>
            <w:r>
              <w:rPr>
                <w:rFonts w:hint="eastAsia" w:ascii="微软雅黑" w:hAnsi="微软雅黑" w:eastAsia="微软雅黑" w:cs="宋体"/>
                <w:sz w:val="20"/>
                <w:szCs w:val="28"/>
              </w:rPr>
              <w:t>，对投标产品功能指标进行验证；若中标人虚假响应招标要求，则合同不予以受理，并承担全部责任。</w:t>
            </w:r>
            <w:r>
              <w:rPr>
                <w:rFonts w:hint="eastAsia" w:ascii="微软雅黑" w:hAnsi="微软雅黑" w:eastAsia="微软雅黑" w:cs="宋体"/>
                <w:sz w:val="20"/>
                <w:szCs w:val="28"/>
                <w:lang w:val="en-US" w:eastAsia="zh-CN"/>
              </w:rPr>
              <w:t>，如没有视为虚假应标。</w:t>
            </w:r>
          </w:p>
          <w:p>
            <w:pPr>
              <w:numPr>
                <w:ilvl w:val="0"/>
                <w:numId w:val="5"/>
              </w:numPr>
              <w:spacing w:line="360" w:lineRule="auto"/>
              <w:ind w:left="0" w:leftChars="0" w:firstLine="0" w:firstLineChars="0"/>
              <w:jc w:val="both"/>
              <w:rPr>
                <w:rFonts w:hint="eastAsia" w:ascii="微软雅黑" w:hAnsi="微软雅黑" w:eastAsia="微软雅黑" w:cs="宋体"/>
                <w:sz w:val="20"/>
                <w:szCs w:val="28"/>
              </w:rPr>
            </w:pPr>
            <w:r>
              <w:rPr>
                <w:rFonts w:hint="eastAsia" w:ascii="微软雅黑" w:hAnsi="微软雅黑" w:eastAsia="微软雅黑" w:cs="宋体"/>
                <w:sz w:val="20"/>
                <w:szCs w:val="28"/>
              </w:rPr>
              <w:t>为确保中标人所供产品为全新原厂正品及原厂售后服务，在评标结束五个工作日内，中标人须提供所有设备原厂针对本项目有效的授权书、原厂设备参数证明文件、以及原厂售后服务承诺，否则合同不予以受理，并承担全部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97" w:hRule="atLeast"/>
        </w:trPr>
        <w:tc>
          <w:tcPr>
            <w:tcW w:w="740" w:type="dxa"/>
            <w:shd w:val="clear" w:color="auto" w:fill="FFFFFF"/>
            <w:vAlign w:val="center"/>
          </w:tcPr>
          <w:p>
            <w:pPr>
              <w:adjustRightInd w:val="0"/>
              <w:spacing w:line="320" w:lineRule="exact"/>
              <w:jc w:val="center"/>
              <w:rPr>
                <w:rFonts w:ascii="微软雅黑" w:hAnsi="微软雅黑" w:eastAsia="微软雅黑" w:cs="宋体"/>
                <w:kern w:val="0"/>
                <w:sz w:val="20"/>
                <w:szCs w:val="28"/>
                <w:lang w:val="zh-CN"/>
              </w:rPr>
            </w:pPr>
            <w:r>
              <w:rPr>
                <w:rFonts w:hint="eastAsia" w:ascii="微软雅黑" w:hAnsi="微软雅黑" w:eastAsia="微软雅黑" w:cs="宋体"/>
                <w:kern w:val="0"/>
                <w:sz w:val="20"/>
                <w:szCs w:val="28"/>
                <w:lang w:val="zh-CN"/>
              </w:rPr>
              <w:t>3</w:t>
            </w:r>
          </w:p>
        </w:tc>
        <w:tc>
          <w:tcPr>
            <w:tcW w:w="2899" w:type="dxa"/>
            <w:shd w:val="clear" w:color="auto" w:fill="FFFFFF"/>
            <w:vAlign w:val="center"/>
          </w:tcPr>
          <w:p>
            <w:pPr>
              <w:adjustRightInd w:val="0"/>
              <w:spacing w:line="320" w:lineRule="exact"/>
              <w:jc w:val="both"/>
              <w:rPr>
                <w:rFonts w:ascii="微软雅黑" w:hAnsi="微软雅黑" w:eastAsia="微软雅黑" w:cs="宋体"/>
                <w:kern w:val="0"/>
                <w:sz w:val="20"/>
                <w:szCs w:val="28"/>
                <w:lang w:val="zh-CN"/>
              </w:rPr>
            </w:pPr>
            <w:r>
              <w:rPr>
                <w:rFonts w:hint="eastAsia" w:ascii="微软雅黑" w:hAnsi="微软雅黑" w:eastAsia="微软雅黑" w:cs="宋体"/>
                <w:kern w:val="0"/>
                <w:sz w:val="20"/>
                <w:szCs w:val="28"/>
                <w:lang w:val="zh-CN"/>
              </w:rPr>
              <w:t>验收要求与标准</w:t>
            </w:r>
          </w:p>
        </w:tc>
        <w:tc>
          <w:tcPr>
            <w:tcW w:w="10289" w:type="dxa"/>
            <w:shd w:val="clear" w:color="auto" w:fill="FFFFFF"/>
            <w:vAlign w:val="center"/>
          </w:tcPr>
          <w:p>
            <w:pPr>
              <w:adjustRightInd w:val="0"/>
              <w:spacing w:line="320" w:lineRule="exact"/>
              <w:jc w:val="both"/>
              <w:rPr>
                <w:rFonts w:hint="default" w:ascii="微软雅黑" w:hAnsi="微软雅黑" w:eastAsia="微软雅黑"/>
                <w:bCs/>
                <w:spacing w:val="8"/>
                <w:sz w:val="20"/>
                <w:szCs w:val="28"/>
                <w:lang w:val="en-US" w:eastAsia="zh-CN"/>
              </w:rPr>
            </w:pPr>
            <w:r>
              <w:rPr>
                <w:rFonts w:hint="eastAsia" w:ascii="微软雅黑" w:hAnsi="微软雅黑" w:eastAsia="微软雅黑"/>
                <w:bCs/>
                <w:spacing w:val="8"/>
                <w:sz w:val="20"/>
                <w:szCs w:val="28"/>
              </w:rPr>
              <w:t>项目验收：按招标文件</w:t>
            </w:r>
            <w:r>
              <w:rPr>
                <w:rFonts w:hint="eastAsia" w:ascii="微软雅黑" w:hAnsi="微软雅黑" w:eastAsia="微软雅黑"/>
                <w:bCs/>
                <w:spacing w:val="8"/>
                <w:sz w:val="20"/>
                <w:szCs w:val="28"/>
                <w:lang w:eastAsia="zh-CN"/>
              </w:rPr>
              <w:t>，</w:t>
            </w:r>
            <w:r>
              <w:rPr>
                <w:rFonts w:hint="eastAsia" w:ascii="微软雅黑" w:hAnsi="微软雅黑" w:eastAsia="微软雅黑"/>
                <w:bCs/>
                <w:spacing w:val="8"/>
                <w:sz w:val="20"/>
                <w:szCs w:val="28"/>
                <w:lang w:val="en-US" w:eastAsia="zh-CN"/>
              </w:rPr>
              <w:t>参照</w:t>
            </w:r>
            <w:r>
              <w:rPr>
                <w:rFonts w:hint="eastAsia" w:ascii="微软雅黑" w:hAnsi="微软雅黑" w:eastAsia="微软雅黑"/>
                <w:bCs/>
                <w:spacing w:val="8"/>
                <w:sz w:val="20"/>
                <w:szCs w:val="28"/>
              </w:rPr>
              <w:t>政府采购相关法律法规要求执行。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97" w:hRule="atLeast"/>
        </w:trPr>
        <w:tc>
          <w:tcPr>
            <w:tcW w:w="740" w:type="dxa"/>
            <w:shd w:val="clear" w:color="auto" w:fill="FFFFFF"/>
            <w:vAlign w:val="center"/>
          </w:tcPr>
          <w:p>
            <w:pPr>
              <w:adjustRightInd w:val="0"/>
              <w:spacing w:line="320" w:lineRule="exact"/>
              <w:jc w:val="center"/>
              <w:rPr>
                <w:rFonts w:hint="eastAsia" w:ascii="微软雅黑" w:hAnsi="微软雅黑" w:eastAsia="微软雅黑" w:cs="宋体"/>
                <w:kern w:val="0"/>
                <w:sz w:val="20"/>
                <w:szCs w:val="28"/>
                <w:lang w:val="zh-CN" w:eastAsia="zh-CN"/>
              </w:rPr>
            </w:pPr>
            <w:r>
              <w:rPr>
                <w:rFonts w:hint="eastAsia" w:ascii="微软雅黑" w:hAnsi="微软雅黑" w:eastAsia="微软雅黑" w:cs="宋体"/>
                <w:kern w:val="0"/>
                <w:sz w:val="20"/>
                <w:szCs w:val="28"/>
                <w:lang w:val="en-US" w:eastAsia="zh-CN"/>
              </w:rPr>
              <w:t>4</w:t>
            </w:r>
          </w:p>
        </w:tc>
        <w:tc>
          <w:tcPr>
            <w:tcW w:w="2899" w:type="dxa"/>
            <w:shd w:val="clear" w:color="auto" w:fill="FFFFFF"/>
            <w:vAlign w:val="center"/>
          </w:tcPr>
          <w:p>
            <w:pPr>
              <w:adjustRightInd w:val="0"/>
              <w:spacing w:line="320" w:lineRule="exact"/>
              <w:jc w:val="both"/>
              <w:rPr>
                <w:rFonts w:ascii="微软雅黑" w:hAnsi="微软雅黑" w:eastAsia="微软雅黑" w:cs="宋体"/>
                <w:kern w:val="0"/>
                <w:sz w:val="20"/>
                <w:szCs w:val="28"/>
                <w:lang w:val="zh-CN"/>
              </w:rPr>
            </w:pPr>
            <w:r>
              <w:rPr>
                <w:rFonts w:hint="eastAsia" w:ascii="微软雅黑" w:hAnsi="微软雅黑" w:eastAsia="微软雅黑" w:cs="宋体"/>
                <w:kern w:val="0"/>
                <w:sz w:val="20"/>
                <w:szCs w:val="28"/>
                <w:lang w:val="zh-CN"/>
              </w:rPr>
              <w:t>款项支付方式、进度计划</w:t>
            </w:r>
          </w:p>
        </w:tc>
        <w:tc>
          <w:tcPr>
            <w:tcW w:w="10289" w:type="dxa"/>
            <w:shd w:val="clear" w:color="auto" w:fill="FFFFFF"/>
            <w:vAlign w:val="center"/>
          </w:tcPr>
          <w:p>
            <w:pPr>
              <w:spacing w:line="360" w:lineRule="auto"/>
              <w:jc w:val="both"/>
              <w:rPr>
                <w:rFonts w:ascii="微软雅黑" w:hAnsi="微软雅黑" w:eastAsia="微软雅黑"/>
                <w:bCs/>
                <w:spacing w:val="8"/>
                <w:sz w:val="20"/>
                <w:szCs w:val="28"/>
              </w:rPr>
            </w:pPr>
            <w:r>
              <w:rPr>
                <w:rFonts w:hint="eastAsia" w:ascii="微软雅黑" w:hAnsi="微软雅黑" w:eastAsia="微软雅黑" w:cs="宋体"/>
                <w:sz w:val="20"/>
                <w:szCs w:val="28"/>
              </w:rPr>
              <w:t>转账、待所有货物完成安装验收并投入正常运行后，采购人向中标单位支付中标总价款的95</w:t>
            </w:r>
            <w:r>
              <w:rPr>
                <w:rFonts w:ascii="微软雅黑" w:hAnsi="微软雅黑" w:eastAsia="微软雅黑" w:cs="宋体"/>
                <w:sz w:val="20"/>
                <w:szCs w:val="28"/>
              </w:rPr>
              <w:t>%</w:t>
            </w:r>
            <w:r>
              <w:rPr>
                <w:rFonts w:hint="eastAsia" w:ascii="微软雅黑" w:hAnsi="微软雅黑" w:eastAsia="微软雅黑" w:cs="宋体"/>
                <w:sz w:val="20"/>
                <w:szCs w:val="28"/>
              </w:rPr>
              <w:t>；余中标总价款的</w:t>
            </w:r>
            <w:r>
              <w:rPr>
                <w:rFonts w:ascii="微软雅黑" w:hAnsi="微软雅黑" w:eastAsia="微软雅黑" w:cs="宋体"/>
                <w:sz w:val="20"/>
                <w:szCs w:val="28"/>
              </w:rPr>
              <w:t>5%</w:t>
            </w:r>
            <w:r>
              <w:rPr>
                <w:rFonts w:hint="eastAsia" w:ascii="微软雅黑" w:hAnsi="微软雅黑" w:eastAsia="微软雅黑" w:cs="宋体"/>
                <w:sz w:val="20"/>
                <w:szCs w:val="28"/>
              </w:rPr>
              <w:t>为质保金，待项目验收合格满一年后由采购人向中标单位全额无利息支付。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97" w:hRule="atLeast"/>
        </w:trPr>
        <w:tc>
          <w:tcPr>
            <w:tcW w:w="740" w:type="dxa"/>
            <w:shd w:val="clear" w:color="auto" w:fill="FFFFFF"/>
            <w:vAlign w:val="center"/>
          </w:tcPr>
          <w:p>
            <w:pPr>
              <w:adjustRightInd w:val="0"/>
              <w:spacing w:line="320" w:lineRule="exact"/>
              <w:jc w:val="center"/>
              <w:rPr>
                <w:rFonts w:hint="eastAsia" w:ascii="微软雅黑" w:hAnsi="微软雅黑" w:eastAsia="微软雅黑" w:cs="宋体"/>
                <w:kern w:val="0"/>
                <w:sz w:val="20"/>
                <w:szCs w:val="28"/>
                <w:lang w:val="zh-CN" w:eastAsia="zh-CN"/>
              </w:rPr>
            </w:pPr>
            <w:r>
              <w:rPr>
                <w:rFonts w:hint="eastAsia" w:ascii="微软雅黑" w:hAnsi="微软雅黑" w:eastAsia="微软雅黑" w:cs="宋体"/>
                <w:kern w:val="0"/>
                <w:sz w:val="20"/>
                <w:szCs w:val="28"/>
                <w:lang w:val="en-US" w:eastAsia="zh-CN"/>
              </w:rPr>
              <w:t>5</w:t>
            </w:r>
          </w:p>
        </w:tc>
        <w:tc>
          <w:tcPr>
            <w:tcW w:w="2899" w:type="dxa"/>
            <w:shd w:val="clear" w:color="auto" w:fill="FFFFFF"/>
            <w:vAlign w:val="center"/>
          </w:tcPr>
          <w:p>
            <w:pPr>
              <w:adjustRightInd w:val="0"/>
              <w:spacing w:line="320" w:lineRule="exact"/>
              <w:jc w:val="both"/>
              <w:rPr>
                <w:rFonts w:ascii="微软雅黑" w:hAnsi="微软雅黑" w:eastAsia="微软雅黑" w:cs="宋体"/>
                <w:kern w:val="0"/>
                <w:sz w:val="20"/>
                <w:szCs w:val="28"/>
                <w:lang w:val="zh-CN"/>
              </w:rPr>
            </w:pPr>
            <w:r>
              <w:rPr>
                <w:rFonts w:hint="eastAsia" w:ascii="微软雅黑" w:hAnsi="微软雅黑" w:eastAsia="微软雅黑" w:cs="宋体"/>
                <w:kern w:val="0"/>
                <w:sz w:val="20"/>
                <w:szCs w:val="28"/>
                <w:lang w:val="zh-CN"/>
              </w:rPr>
              <w:t>质保期限及售后服务要求</w:t>
            </w:r>
          </w:p>
        </w:tc>
        <w:tc>
          <w:tcPr>
            <w:tcW w:w="10289" w:type="dxa"/>
            <w:shd w:val="clear" w:color="auto" w:fill="FFFFFF"/>
            <w:vAlign w:val="center"/>
          </w:tcPr>
          <w:p>
            <w:pPr>
              <w:spacing w:line="360" w:lineRule="auto"/>
              <w:jc w:val="both"/>
              <w:rPr>
                <w:rFonts w:ascii="微软雅黑" w:hAnsi="微软雅黑" w:eastAsia="微软雅黑" w:cs="宋体"/>
                <w:sz w:val="20"/>
                <w:szCs w:val="28"/>
              </w:rPr>
            </w:pPr>
            <w:r>
              <w:rPr>
                <w:rFonts w:hint="eastAsia" w:ascii="微软雅黑" w:hAnsi="微软雅黑" w:eastAsia="微软雅黑" w:cs="宋体"/>
                <w:sz w:val="20"/>
                <w:szCs w:val="28"/>
              </w:rPr>
              <w:t>验收合格后起计算，以质保所投设备（产品）不低于国家规定为准。</w:t>
            </w:r>
          </w:p>
          <w:p>
            <w:pPr>
              <w:spacing w:line="360" w:lineRule="auto"/>
              <w:jc w:val="both"/>
              <w:rPr>
                <w:rFonts w:ascii="微软雅黑" w:hAnsi="微软雅黑" w:eastAsia="微软雅黑"/>
                <w:bCs/>
                <w:spacing w:val="8"/>
                <w:sz w:val="20"/>
                <w:szCs w:val="28"/>
              </w:rPr>
            </w:pPr>
            <w:r>
              <w:rPr>
                <w:rFonts w:hint="eastAsia" w:ascii="微软雅黑" w:hAnsi="微软雅黑" w:eastAsia="微软雅黑" w:cs="宋体"/>
                <w:sz w:val="20"/>
                <w:szCs w:val="28"/>
              </w:rPr>
              <w:t>售后服务：设备原厂及中标人现场服务。</w:t>
            </w:r>
          </w:p>
        </w:tc>
      </w:tr>
    </w:tbl>
    <w:p/>
    <w:sectPr>
      <w:headerReference r:id="rId3" w:type="default"/>
      <w:headerReference r:id="rId4" w:type="even"/>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A39238"/>
    <w:multiLevelType w:val="singleLevel"/>
    <w:tmpl w:val="B8A39238"/>
    <w:lvl w:ilvl="0" w:tentative="0">
      <w:start w:val="1"/>
      <w:numFmt w:val="decimal"/>
      <w:suff w:val="nothing"/>
      <w:lvlText w:val="%1、"/>
      <w:lvlJc w:val="left"/>
    </w:lvl>
  </w:abstractNum>
  <w:abstractNum w:abstractNumId="1">
    <w:nsid w:val="BDB1753F"/>
    <w:multiLevelType w:val="singleLevel"/>
    <w:tmpl w:val="BDB1753F"/>
    <w:lvl w:ilvl="0" w:tentative="0">
      <w:start w:val="1"/>
      <w:numFmt w:val="decimal"/>
      <w:suff w:val="space"/>
      <w:lvlText w:val="%1."/>
      <w:lvlJc w:val="left"/>
    </w:lvl>
  </w:abstractNum>
  <w:abstractNum w:abstractNumId="2">
    <w:nsid w:val="F84D44BA"/>
    <w:multiLevelType w:val="singleLevel"/>
    <w:tmpl w:val="F84D44BA"/>
    <w:lvl w:ilvl="0" w:tentative="0">
      <w:start w:val="1"/>
      <w:numFmt w:val="decimal"/>
      <w:suff w:val="nothing"/>
      <w:lvlText w:val="%1、"/>
      <w:lvlJc w:val="left"/>
    </w:lvl>
  </w:abstractNum>
  <w:abstractNum w:abstractNumId="3">
    <w:nsid w:val="4D3C5EFA"/>
    <w:multiLevelType w:val="singleLevel"/>
    <w:tmpl w:val="4D3C5EFA"/>
    <w:lvl w:ilvl="0" w:tentative="0">
      <w:start w:val="1"/>
      <w:numFmt w:val="decimal"/>
      <w:suff w:val="space"/>
      <w:lvlText w:val="%1."/>
      <w:lvlJc w:val="left"/>
    </w:lvl>
  </w:abstractNum>
  <w:abstractNum w:abstractNumId="4">
    <w:nsid w:val="56823E20"/>
    <w:multiLevelType w:val="singleLevel"/>
    <w:tmpl w:val="56823E20"/>
    <w:lvl w:ilvl="0" w:tentative="0">
      <w:start w:val="1"/>
      <w:numFmt w:val="decimal"/>
      <w:lvlText w:val="%1."/>
      <w:lvlJc w:val="left"/>
      <w:pPr>
        <w:tabs>
          <w:tab w:val="left" w:pos="312"/>
        </w:tabs>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k2MThiYjA2NzM0YmYzZTQxMjJlMzIxN2M4MjllY2QifQ=="/>
  </w:docVars>
  <w:rsids>
    <w:rsidRoot w:val="27150CE5"/>
    <w:rsid w:val="00033A75"/>
    <w:rsid w:val="000371CB"/>
    <w:rsid w:val="000925C3"/>
    <w:rsid w:val="000F1B00"/>
    <w:rsid w:val="002A37E2"/>
    <w:rsid w:val="003244C4"/>
    <w:rsid w:val="0039452E"/>
    <w:rsid w:val="003F7076"/>
    <w:rsid w:val="00493CEE"/>
    <w:rsid w:val="006A54C2"/>
    <w:rsid w:val="00714701"/>
    <w:rsid w:val="00714F3C"/>
    <w:rsid w:val="007333C3"/>
    <w:rsid w:val="007B429E"/>
    <w:rsid w:val="008609F0"/>
    <w:rsid w:val="008D2731"/>
    <w:rsid w:val="00933EA5"/>
    <w:rsid w:val="009B2120"/>
    <w:rsid w:val="00A917CA"/>
    <w:rsid w:val="00B14330"/>
    <w:rsid w:val="00B302AC"/>
    <w:rsid w:val="00B31620"/>
    <w:rsid w:val="00B7407A"/>
    <w:rsid w:val="00CA4090"/>
    <w:rsid w:val="00E215DF"/>
    <w:rsid w:val="00EB4527"/>
    <w:rsid w:val="00FA3FD1"/>
    <w:rsid w:val="27150CE5"/>
    <w:rsid w:val="2FF615E1"/>
    <w:rsid w:val="37EA6AFE"/>
    <w:rsid w:val="3AC90E12"/>
    <w:rsid w:val="3ADB2A44"/>
    <w:rsid w:val="45CA14AB"/>
    <w:rsid w:val="54EB6350"/>
    <w:rsid w:val="568422A0"/>
    <w:rsid w:val="676A2EAC"/>
    <w:rsid w:val="79ED5E69"/>
    <w:rsid w:val="7AB879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iPriority="99"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line="413" w:lineRule="auto"/>
      <w:outlineLvl w:val="1"/>
    </w:pPr>
    <w:rPr>
      <w:rFonts w:ascii="Arial" w:hAnsi="Arial" w:eastAsia="黑体"/>
      <w:b/>
      <w:sz w:val="32"/>
    </w:rPr>
  </w:style>
  <w:style w:type="paragraph" w:styleId="3">
    <w:name w:val="heading 3"/>
    <w:basedOn w:val="1"/>
    <w:next w:val="1"/>
    <w:unhideWhenUsed/>
    <w:qFormat/>
    <w:uiPriority w:val="0"/>
    <w:pPr>
      <w:keepNext/>
      <w:keepLines/>
      <w:spacing w:line="413" w:lineRule="auto"/>
      <w:outlineLvl w:val="2"/>
    </w:pPr>
    <w:rPr>
      <w:b/>
      <w:sz w:val="32"/>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4">
    <w:name w:val="Body Text"/>
    <w:basedOn w:val="1"/>
    <w:link w:val="12"/>
    <w:unhideWhenUsed/>
    <w:qFormat/>
    <w:uiPriority w:val="99"/>
    <w:pPr>
      <w:spacing w:after="120"/>
    </w:pPr>
    <w:rPr>
      <w:rFonts w:ascii="Calibri" w:hAnsi="Calibri" w:eastAsia="宋体" w:cs="Times New Roman"/>
    </w:r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0"/>
    <w:rPr>
      <w:rFonts w:asciiTheme="minorHAnsi" w:hAnsiTheme="minorHAnsi" w:eastAsiaTheme="minorEastAsia" w:cstheme="minorBidi"/>
      <w:kern w:val="2"/>
      <w:sz w:val="18"/>
      <w:szCs w:val="18"/>
    </w:rPr>
  </w:style>
  <w:style w:type="character" w:customStyle="1" w:styleId="10">
    <w:name w:val="页脚 Char"/>
    <w:basedOn w:val="8"/>
    <w:link w:val="5"/>
    <w:qFormat/>
    <w:uiPriority w:val="0"/>
    <w:rPr>
      <w:rFonts w:asciiTheme="minorHAnsi" w:hAnsiTheme="minorHAnsi" w:eastAsiaTheme="minorEastAsia" w:cstheme="minorBidi"/>
      <w:kern w:val="2"/>
      <w:sz w:val="18"/>
      <w:szCs w:val="18"/>
    </w:rPr>
  </w:style>
  <w:style w:type="paragraph" w:customStyle="1" w:styleId="11">
    <w:name w:val="List Paragraph"/>
    <w:basedOn w:val="1"/>
    <w:unhideWhenUsed/>
    <w:qFormat/>
    <w:uiPriority w:val="99"/>
    <w:pPr>
      <w:ind w:firstLine="420" w:firstLineChars="200"/>
    </w:pPr>
  </w:style>
  <w:style w:type="character" w:customStyle="1" w:styleId="12">
    <w:name w:val="正文文本 Char"/>
    <w:basedOn w:val="8"/>
    <w:link w:val="4"/>
    <w:semiHidden/>
    <w:qFormat/>
    <w:uiPriority w:val="99"/>
    <w:rPr>
      <w:rFonts w:ascii="Calibri" w:hAnsi="Calibr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6654</Words>
  <Characters>7633</Characters>
  <Lines>56</Lines>
  <Paragraphs>15</Paragraphs>
  <TotalTime>3</TotalTime>
  <ScaleCrop>false</ScaleCrop>
  <LinksUpToDate>false</LinksUpToDate>
  <CharactersWithSpaces>7818</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2022-05-10T15:05:00Z</dcterms:created>
  <dc:creator>Administrator</dc:creator>
  <cp:lastModifiedBy>Spe</cp:lastModifiedBy>
  <dcterms:modified xsi:type="dcterms:W3CDTF">2022-05-17T07:45:08Z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CAB556B88E2848298566AC9A87C658BA</vt:lpwstr>
  </property>
</Properties>
</file>