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48" w:rsidRDefault="005A3B48" w:rsidP="009C042F">
      <w:pPr>
        <w:jc w:val="center"/>
        <w:rPr>
          <w:b/>
          <w:bCs/>
          <w:sz w:val="44"/>
          <w:szCs w:val="36"/>
        </w:rPr>
      </w:pPr>
      <w:r w:rsidRPr="005A3B48">
        <w:rPr>
          <w:rFonts w:hint="eastAsia"/>
          <w:b/>
          <w:bCs/>
          <w:sz w:val="44"/>
          <w:szCs w:val="36"/>
        </w:rPr>
        <w:t>江油市人民医院</w:t>
      </w:r>
    </w:p>
    <w:p w:rsidR="00590223" w:rsidRDefault="00D55349" w:rsidP="009C042F">
      <w:pPr>
        <w:jc w:val="center"/>
        <w:rPr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院前急诊急救系统</w:t>
      </w:r>
      <w:r w:rsidR="005A3B48" w:rsidRPr="005A3B48">
        <w:rPr>
          <w:rFonts w:hint="eastAsia"/>
          <w:b/>
          <w:bCs/>
          <w:sz w:val="44"/>
          <w:szCs w:val="36"/>
        </w:rPr>
        <w:t>建设</w:t>
      </w:r>
      <w:r w:rsidR="009C042F">
        <w:rPr>
          <w:rFonts w:hint="eastAsia"/>
          <w:b/>
          <w:bCs/>
          <w:sz w:val="44"/>
          <w:szCs w:val="36"/>
        </w:rPr>
        <w:t>咨询方案</w:t>
      </w:r>
    </w:p>
    <w:p w:rsidR="00AD4D38" w:rsidRDefault="008C0CC3" w:rsidP="009C042F">
      <w:pPr>
        <w:ind w:firstLineChars="200" w:firstLine="560"/>
        <w:rPr>
          <w:rFonts w:asciiTheme="minorEastAsia" w:hAnsiTheme="minorEastAsia"/>
          <w:sz w:val="28"/>
          <w:szCs w:val="32"/>
        </w:rPr>
      </w:pPr>
      <w:r w:rsidRPr="008C0CC3">
        <w:rPr>
          <w:rFonts w:asciiTheme="minorEastAsia" w:hAnsiTheme="minorEastAsia" w:hint="eastAsia"/>
          <w:sz w:val="28"/>
          <w:szCs w:val="32"/>
        </w:rPr>
        <w:t>我院为贯彻落实《国务院办公厅关于促进“互联网+医疗健康”发展的意见》（国办发〔2018〕26 号），《关于开展城市医疗联合体建设试点工作的通知》国卫医函〔2019〕125 号，《关于推进紧密型县域医疗卫生共同体建设的通知》国卫基层函〔2019〕121 号等文件精神。推进实施健康中国、健康绵阳、健康江油战略，提升区域内医疗卫生现代化管理水平，优化资源配置，创新服务模式，提高服务效率，降低服务成本，满足本地区人民群众日益增长的医疗卫生健康需求，建立集成规范、智能精准、开放共享、高效便捷的健康医疗便民惠民服务体系，努力提供更高水平、更加满意的医疗健康服务，增强人民群众获得感、幸福感和安全感。准备探索建立我院针对基层医院的指导系统。</w:t>
      </w:r>
      <w:r w:rsidR="006D2ADD">
        <w:rPr>
          <w:rFonts w:asciiTheme="minorEastAsia" w:hAnsiTheme="minorEastAsia" w:hint="eastAsia"/>
          <w:sz w:val="28"/>
          <w:szCs w:val="32"/>
        </w:rPr>
        <w:t>具体需求（包括但不限于）如下：</w:t>
      </w:r>
    </w:p>
    <w:p w:rsidR="006D2ADD" w:rsidRDefault="006D2ADD" w:rsidP="006D2ADD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32"/>
        </w:rPr>
      </w:pPr>
      <w:r w:rsidRPr="006D2ADD">
        <w:rPr>
          <w:rFonts w:asciiTheme="minorEastAsia" w:hAnsiTheme="minorEastAsia" w:hint="eastAsia"/>
          <w:sz w:val="28"/>
          <w:szCs w:val="32"/>
        </w:rPr>
        <w:t>院前急救调度管理</w:t>
      </w:r>
      <w:r>
        <w:rPr>
          <w:rFonts w:asciiTheme="minorEastAsia" w:hAnsiTheme="minorEastAsia" w:hint="eastAsia"/>
          <w:sz w:val="28"/>
          <w:szCs w:val="32"/>
        </w:rPr>
        <w:t>：</w:t>
      </w:r>
    </w:p>
    <w:p w:rsidR="009C042F" w:rsidRDefault="006D2ADD" w:rsidP="006D2ADD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支持院前调度资源排班（包括救护车、调度医生、护士等）</w:t>
      </w:r>
    </w:p>
    <w:p w:rsidR="006D2ADD" w:rsidRDefault="00277418" w:rsidP="006D2ADD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急救调度：与区域急救120</w:t>
      </w:r>
      <w:r w:rsidR="00EA53BB">
        <w:rPr>
          <w:rFonts w:asciiTheme="minorEastAsia" w:hAnsiTheme="minorEastAsia" w:hint="eastAsia"/>
          <w:sz w:val="28"/>
          <w:szCs w:val="32"/>
        </w:rPr>
        <w:t>中心对接，实现急救出诊数据快速获取，实时查看急救车辆位置信息，支持智能呼叫；</w:t>
      </w:r>
    </w:p>
    <w:p w:rsidR="00277418" w:rsidRPr="006D2ADD" w:rsidRDefault="00277418" w:rsidP="006D2ADD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急救大屏显示：包括救护车行驶路线、患者基本情况、患者</w:t>
      </w:r>
      <w:r w:rsidRPr="00277418">
        <w:rPr>
          <w:rFonts w:asciiTheme="minorEastAsia" w:hAnsiTheme="minorEastAsia" w:hint="eastAsia"/>
          <w:sz w:val="28"/>
          <w:szCs w:val="32"/>
        </w:rPr>
        <w:t>远程心电监护信息</w:t>
      </w:r>
      <w:r>
        <w:rPr>
          <w:rFonts w:asciiTheme="minorEastAsia" w:hAnsiTheme="minorEastAsia" w:hint="eastAsia"/>
          <w:sz w:val="28"/>
          <w:szCs w:val="32"/>
        </w:rPr>
        <w:t>等；</w:t>
      </w:r>
    </w:p>
    <w:p w:rsidR="00F14AF6" w:rsidRDefault="00277418" w:rsidP="00277418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二、5</w:t>
      </w:r>
      <w:r>
        <w:rPr>
          <w:rFonts w:asciiTheme="minorEastAsia" w:hAnsiTheme="minorEastAsia"/>
          <w:sz w:val="28"/>
          <w:szCs w:val="32"/>
        </w:rPr>
        <w:t>G</w:t>
      </w:r>
      <w:r>
        <w:rPr>
          <w:rFonts w:asciiTheme="minorEastAsia" w:hAnsiTheme="minorEastAsia" w:hint="eastAsia"/>
          <w:sz w:val="28"/>
          <w:szCs w:val="32"/>
        </w:rPr>
        <w:t>救护车载系统</w:t>
      </w:r>
      <w:r>
        <w:rPr>
          <w:rFonts w:asciiTheme="minorEastAsia" w:hAnsiTheme="minorEastAsia"/>
          <w:sz w:val="28"/>
          <w:szCs w:val="32"/>
        </w:rPr>
        <w:t>：</w:t>
      </w:r>
    </w:p>
    <w:p w:rsidR="00F14AF6" w:rsidRDefault="00F14AF6" w:rsidP="00F14AF6">
      <w:pPr>
        <w:ind w:firstLineChars="300" w:firstLine="84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（1）车载电子病历：建设车载电子病历，支持模板录入、可内嵌质控规则，支持语音录入；</w:t>
      </w:r>
    </w:p>
    <w:p w:rsidR="00F14AF6" w:rsidRDefault="00F14AF6" w:rsidP="00F14AF6">
      <w:pPr>
        <w:ind w:firstLineChars="300" w:firstLine="84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lastRenderedPageBreak/>
        <w:t>（2）</w:t>
      </w:r>
      <w:r>
        <w:rPr>
          <w:rFonts w:asciiTheme="minorEastAsia" w:hAnsiTheme="minorEastAsia" w:hint="eastAsia"/>
          <w:sz w:val="28"/>
          <w:szCs w:val="32"/>
        </w:rPr>
        <w:t>车载会诊：通过5</w:t>
      </w:r>
      <w:r>
        <w:rPr>
          <w:rFonts w:asciiTheme="minorEastAsia" w:hAnsiTheme="minorEastAsia"/>
          <w:sz w:val="28"/>
          <w:szCs w:val="32"/>
        </w:rPr>
        <w:t>G</w:t>
      </w:r>
      <w:r>
        <w:rPr>
          <w:rFonts w:asciiTheme="minorEastAsia" w:hAnsiTheme="minorEastAsia" w:hint="eastAsia"/>
          <w:sz w:val="28"/>
          <w:szCs w:val="32"/>
        </w:rPr>
        <w:t>传输技术，与院内系统实现对接，患者在救护车上就直接连通院内专家进行会诊，及时为患者提供服务支持、远程诊断，为急救诊疗争取最佳的抢救时间；</w:t>
      </w:r>
    </w:p>
    <w:p w:rsidR="00EA53BB" w:rsidRDefault="00F14AF6" w:rsidP="00EA53BB">
      <w:pPr>
        <w:ind w:firstLineChars="300" w:firstLine="84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（3）</w:t>
      </w:r>
      <w:r>
        <w:rPr>
          <w:rFonts w:asciiTheme="minorEastAsia" w:hAnsiTheme="minorEastAsia" w:hint="eastAsia"/>
          <w:sz w:val="28"/>
          <w:szCs w:val="32"/>
        </w:rPr>
        <w:t>体征数据采集与传输</w:t>
      </w:r>
      <w:r>
        <w:rPr>
          <w:rFonts w:asciiTheme="minorEastAsia" w:hAnsiTheme="minorEastAsia"/>
          <w:sz w:val="28"/>
          <w:szCs w:val="32"/>
        </w:rPr>
        <w:t>：</w:t>
      </w:r>
      <w:r w:rsidRPr="00F14AF6">
        <w:rPr>
          <w:rFonts w:asciiTheme="minorEastAsia" w:hAnsiTheme="minorEastAsia" w:hint="eastAsia"/>
          <w:sz w:val="28"/>
          <w:szCs w:val="32"/>
        </w:rPr>
        <w:t>体征数据采集子系统可获取医疗设备采集的生命体征监测数据、影像检查数据等，并通过5G网络及时回传到接诊医院，与院内系统实现互联互通，有助于远端专家第一时间精准获悉患者病情，提供远程指导</w:t>
      </w:r>
      <w:r w:rsidR="00EA53BB">
        <w:rPr>
          <w:rFonts w:asciiTheme="minorEastAsia" w:hAnsiTheme="minorEastAsia" w:hint="eastAsia"/>
          <w:sz w:val="28"/>
          <w:szCs w:val="32"/>
        </w:rPr>
        <w:t>；</w:t>
      </w:r>
    </w:p>
    <w:p w:rsidR="00EA53BB" w:rsidRDefault="00EA53BB" w:rsidP="00EA53BB">
      <w:pPr>
        <w:ind w:firstLineChars="300" w:firstLine="84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>（4）</w:t>
      </w:r>
      <w:r>
        <w:rPr>
          <w:rFonts w:asciiTheme="minorEastAsia" w:hAnsiTheme="minorEastAsia" w:hint="eastAsia"/>
          <w:sz w:val="28"/>
          <w:szCs w:val="32"/>
        </w:rPr>
        <w:t>支撑人员与急救车辆定位；</w:t>
      </w:r>
    </w:p>
    <w:p w:rsidR="00F14AF6" w:rsidRDefault="00F14AF6" w:rsidP="00F14AF6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三、院内协同：</w:t>
      </w:r>
      <w:bookmarkStart w:id="0" w:name="_GoBack"/>
      <w:bookmarkEnd w:id="0"/>
    </w:p>
    <w:p w:rsidR="00F14AF6" w:rsidRDefault="00F14AF6" w:rsidP="00F14AF6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 xml:space="preserve">      （1）</w:t>
      </w:r>
      <w:r w:rsidR="00087570">
        <w:rPr>
          <w:rFonts w:asciiTheme="minorEastAsia" w:hAnsiTheme="minorEastAsia" w:hint="eastAsia"/>
          <w:sz w:val="28"/>
          <w:szCs w:val="32"/>
        </w:rPr>
        <w:t>与院内分诊系统</w:t>
      </w:r>
      <w:r w:rsidR="00EA53BB">
        <w:rPr>
          <w:rFonts w:asciiTheme="minorEastAsia" w:hAnsiTheme="minorEastAsia" w:hint="eastAsia"/>
          <w:sz w:val="28"/>
          <w:szCs w:val="32"/>
        </w:rPr>
        <w:t>和数据集成平台</w:t>
      </w:r>
      <w:r w:rsidR="00087570">
        <w:rPr>
          <w:rFonts w:asciiTheme="minorEastAsia" w:hAnsiTheme="minorEastAsia" w:hint="eastAsia"/>
          <w:sz w:val="28"/>
          <w:szCs w:val="32"/>
        </w:rPr>
        <w:t>无缝对接，同步院前患者相关信息，实现生命体征、诊断、分级、分诊等信息快速录入</w:t>
      </w:r>
    </w:p>
    <w:p w:rsidR="00EA53BB" w:rsidRDefault="00EA53BB" w:rsidP="00F14AF6">
      <w:pPr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/>
          <w:sz w:val="28"/>
          <w:szCs w:val="32"/>
        </w:rPr>
        <w:t xml:space="preserve">      （2）</w:t>
      </w:r>
      <w:r>
        <w:rPr>
          <w:rFonts w:asciiTheme="minorEastAsia" w:hAnsiTheme="minorEastAsia" w:hint="eastAsia"/>
          <w:sz w:val="28"/>
          <w:szCs w:val="32"/>
        </w:rPr>
        <w:t>危急重症自动预警功能</w:t>
      </w:r>
    </w:p>
    <w:p w:rsidR="00A14FD8" w:rsidRDefault="00A14FD8" w:rsidP="00A14FD8">
      <w:pPr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项目咨询评价办法：</w:t>
      </w:r>
    </w:p>
    <w:tbl>
      <w:tblPr>
        <w:tblW w:w="99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2322"/>
        <w:gridCol w:w="426"/>
        <w:gridCol w:w="6674"/>
      </w:tblGrid>
      <w:tr w:rsidR="00A14FD8" w:rsidTr="00F85608">
        <w:trPr>
          <w:trHeight w:val="670"/>
        </w:trPr>
        <w:tc>
          <w:tcPr>
            <w:tcW w:w="996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评分标准</w:t>
            </w:r>
          </w:p>
          <w:p w:rsidR="00A14FD8" w:rsidRDefault="00A14FD8" w:rsidP="00F8560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14FD8" w:rsidTr="00F85608">
        <w:trPr>
          <w:trHeight w:val="662"/>
        </w:trPr>
        <w:tc>
          <w:tcPr>
            <w:tcW w:w="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评分因素及权重</w:t>
            </w:r>
          </w:p>
        </w:tc>
        <w:tc>
          <w:tcPr>
            <w:tcW w:w="4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66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评分标准</w:t>
            </w:r>
          </w:p>
        </w:tc>
      </w:tr>
      <w:tr w:rsidR="00A14FD8" w:rsidTr="00F85608">
        <w:trPr>
          <w:trHeight w:val="1305"/>
        </w:trPr>
        <w:tc>
          <w:tcPr>
            <w:tcW w:w="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报价30%</w:t>
            </w:r>
          </w:p>
        </w:tc>
        <w:tc>
          <w:tcPr>
            <w:tcW w:w="4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66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1、满足</w:t>
            </w: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文件要求且</w:t>
            </w: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价格最低的有效</w:t>
            </w: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报价为评标基准价，其价格分为满分。其它</w:t>
            </w: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人的价格分统一按照下列公式计算；</w:t>
            </w: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报价得分＝（评标基准价/</w:t>
            </w: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报价）X 30% X 100;</w:t>
            </w:r>
          </w:p>
          <w:p w:rsidR="00A14FD8" w:rsidRDefault="00A14FD8" w:rsidP="00F85608">
            <w:pPr>
              <w:rPr>
                <w:rFonts w:ascii="宋体" w:hAnsi="宋体" w:cs="宋体"/>
                <w:szCs w:val="21"/>
              </w:rPr>
            </w:pPr>
          </w:p>
        </w:tc>
      </w:tr>
      <w:tr w:rsidR="00A14FD8" w:rsidTr="00F85608">
        <w:trPr>
          <w:trHeight w:val="542"/>
        </w:trPr>
        <w:tc>
          <w:tcPr>
            <w:tcW w:w="538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2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技术指标和配置30%</w:t>
            </w:r>
          </w:p>
        </w:tc>
        <w:tc>
          <w:tcPr>
            <w:tcW w:w="426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6674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ind w:firstLineChars="100" w:firstLine="21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文件中所列设备技术参数及要求为本项目得功能需求，涉及的参与人须按咨询文件逐条相应并截图证明，完全符咨询文件要求没有负偏离得30分，有一项不满足扣1分，扣完为止。</w:t>
            </w:r>
          </w:p>
        </w:tc>
      </w:tr>
      <w:tr w:rsidR="00A14FD8" w:rsidTr="00F85608">
        <w:trPr>
          <w:trHeight w:val="542"/>
        </w:trPr>
        <w:tc>
          <w:tcPr>
            <w:tcW w:w="538" w:type="dxa"/>
            <w:vMerge/>
            <w:noWrap/>
            <w:vAlign w:val="center"/>
          </w:tcPr>
          <w:p w:rsidR="00A14FD8" w:rsidRDefault="00A14FD8" w:rsidP="00F856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vMerge/>
            <w:noWrap/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674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A14FD8" w:rsidTr="00F85608">
        <w:trPr>
          <w:trHeight w:val="730"/>
        </w:trPr>
        <w:tc>
          <w:tcPr>
            <w:tcW w:w="538" w:type="dxa"/>
            <w:noWrap/>
            <w:vAlign w:val="center"/>
          </w:tcPr>
          <w:p w:rsidR="00A14FD8" w:rsidRDefault="00A14FD8" w:rsidP="00F856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22" w:type="dxa"/>
            <w:noWrap/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技术指标和信誉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426" w:type="dxa"/>
            <w:noWrap/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6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咨询参与方所投产品，必须提供国家的知识产权证明材料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A14FD8" w:rsidTr="00F85608">
        <w:trPr>
          <w:trHeight w:val="983"/>
        </w:trPr>
        <w:tc>
          <w:tcPr>
            <w:tcW w:w="538" w:type="dxa"/>
            <w:noWrap/>
            <w:vAlign w:val="center"/>
          </w:tcPr>
          <w:p w:rsidR="00A14FD8" w:rsidRDefault="00A14FD8" w:rsidP="00F856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22" w:type="dxa"/>
            <w:noWrap/>
            <w:vAlign w:val="center"/>
          </w:tcPr>
          <w:p w:rsidR="00A14FD8" w:rsidRDefault="00A14FD8" w:rsidP="00F8560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咨询参与方业绩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426" w:type="dxa"/>
            <w:noWrap/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66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咨询参与方有类似的业绩按合作作为评比标准，三甲医院使用数量：&gt;=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分，少一家扣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分，扣完为至。（提供医院证明截图或者复印件材料，未提供</w:t>
            </w:r>
            <w:r>
              <w:rPr>
                <w:rFonts w:ascii="宋体" w:hAnsi="宋体" w:cs="宋体" w:hint="eastAsia"/>
                <w:szCs w:val="21"/>
              </w:rPr>
              <w:t>材料</w:t>
            </w:r>
            <w:r>
              <w:rPr>
                <w:rFonts w:ascii="宋体" w:eastAsia="宋体" w:hAnsi="宋体" w:cs="宋体" w:hint="eastAsia"/>
                <w:szCs w:val="21"/>
              </w:rPr>
              <w:t>按未提供处理）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A14FD8" w:rsidTr="00F85608">
        <w:trPr>
          <w:trHeight w:val="969"/>
        </w:trPr>
        <w:tc>
          <w:tcPr>
            <w:tcW w:w="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3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现场演示部分</w:t>
            </w:r>
            <w:r>
              <w:rPr>
                <w:rFonts w:ascii="宋体" w:hAnsi="宋体" w:cs="宋体" w:hint="eastAsia"/>
                <w:kern w:val="0"/>
                <w:szCs w:val="21"/>
              </w:rPr>
              <w:t>20%</w:t>
            </w:r>
          </w:p>
        </w:tc>
        <w:tc>
          <w:tcPr>
            <w:tcW w:w="4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66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咨询参与方，提供产品的演示，咨询方按照功能需求，逐条对应，满分20分，少一项扣1分，扣完为止。</w:t>
            </w:r>
          </w:p>
        </w:tc>
      </w:tr>
      <w:tr w:rsidR="00A14FD8" w:rsidTr="00F85608">
        <w:trPr>
          <w:trHeight w:val="1517"/>
        </w:trPr>
        <w:tc>
          <w:tcPr>
            <w:tcW w:w="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文件规范性、完整性</w:t>
            </w:r>
            <w:r>
              <w:rPr>
                <w:rFonts w:ascii="宋体" w:hAnsi="宋体" w:cs="宋体" w:hint="eastAsia"/>
                <w:kern w:val="0"/>
                <w:szCs w:val="21"/>
              </w:rPr>
              <w:t>、现场咨询情况5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4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6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FD8" w:rsidRDefault="00A14FD8" w:rsidP="00F8560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1.咨询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文件制作规范，没有细微偏差情形的得满分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分，有一项细微偏差扣0.5分，直到该项分值扣完为止。</w:t>
            </w:r>
          </w:p>
          <w:p w:rsidR="00A14FD8" w:rsidRDefault="00A14FD8" w:rsidP="00F8560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2.现场咨询阶段，咨询参与方回答项目之外的问题提问情况，咨询方未提问得3分，回答不满意1次扣0.5分，扣完为止。</w:t>
            </w:r>
          </w:p>
        </w:tc>
      </w:tr>
    </w:tbl>
    <w:p w:rsidR="00A14FD8" w:rsidRDefault="00A14FD8" w:rsidP="00A14FD8">
      <w:pPr>
        <w:jc w:val="left"/>
        <w:rPr>
          <w:rFonts w:ascii="Calibri" w:hAnsi="Calibri"/>
          <w:sz w:val="32"/>
          <w:szCs w:val="32"/>
        </w:rPr>
      </w:pPr>
    </w:p>
    <w:p w:rsidR="00087570" w:rsidRPr="00A14FD8" w:rsidRDefault="00087570" w:rsidP="00277418">
      <w:pPr>
        <w:rPr>
          <w:rFonts w:asciiTheme="minorEastAsia" w:hAnsiTheme="minorEastAsia"/>
          <w:sz w:val="28"/>
          <w:szCs w:val="32"/>
        </w:rPr>
      </w:pPr>
    </w:p>
    <w:sectPr w:rsidR="00087570" w:rsidRPr="00A14FD8" w:rsidSect="008B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803" w:rsidRDefault="00832803" w:rsidP="005A3B48">
      <w:r>
        <w:separator/>
      </w:r>
    </w:p>
  </w:endnote>
  <w:endnote w:type="continuationSeparator" w:id="1">
    <w:p w:rsidR="00832803" w:rsidRDefault="00832803" w:rsidP="005A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803" w:rsidRDefault="00832803" w:rsidP="005A3B48">
      <w:r>
        <w:separator/>
      </w:r>
    </w:p>
  </w:footnote>
  <w:footnote w:type="continuationSeparator" w:id="1">
    <w:p w:rsidR="00832803" w:rsidRDefault="00832803" w:rsidP="005A3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3DC"/>
    <w:multiLevelType w:val="hybridMultilevel"/>
    <w:tmpl w:val="FE0A685E"/>
    <w:lvl w:ilvl="0" w:tplc="2E9A3BF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FF11AF5"/>
    <w:multiLevelType w:val="hybridMultilevel"/>
    <w:tmpl w:val="9600084A"/>
    <w:lvl w:ilvl="0" w:tplc="695A1C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83A79"/>
    <w:multiLevelType w:val="multilevel"/>
    <w:tmpl w:val="86281176"/>
    <w:lvl w:ilvl="0">
      <w:start w:val="1"/>
      <w:numFmt w:val="decimal"/>
      <w:pStyle w:val="1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1588" w:hanging="1588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984" w:hanging="1984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08C086E"/>
    <w:multiLevelType w:val="hybridMultilevel"/>
    <w:tmpl w:val="BC9AD5B2"/>
    <w:lvl w:ilvl="0" w:tplc="A90CB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A1E"/>
    <w:rsid w:val="00041088"/>
    <w:rsid w:val="000463DC"/>
    <w:rsid w:val="00087570"/>
    <w:rsid w:val="001313C0"/>
    <w:rsid w:val="001A6A1E"/>
    <w:rsid w:val="001E4937"/>
    <w:rsid w:val="00277418"/>
    <w:rsid w:val="00590223"/>
    <w:rsid w:val="005A3B48"/>
    <w:rsid w:val="00604777"/>
    <w:rsid w:val="00633761"/>
    <w:rsid w:val="006A66AB"/>
    <w:rsid w:val="006D2ADD"/>
    <w:rsid w:val="00832803"/>
    <w:rsid w:val="008B3267"/>
    <w:rsid w:val="008B4DA3"/>
    <w:rsid w:val="008C0CC3"/>
    <w:rsid w:val="009348FF"/>
    <w:rsid w:val="00935B93"/>
    <w:rsid w:val="009A0657"/>
    <w:rsid w:val="009C042F"/>
    <w:rsid w:val="00A14FD8"/>
    <w:rsid w:val="00A23FDE"/>
    <w:rsid w:val="00A56BE5"/>
    <w:rsid w:val="00A65E12"/>
    <w:rsid w:val="00AD4D38"/>
    <w:rsid w:val="00C853EA"/>
    <w:rsid w:val="00D55349"/>
    <w:rsid w:val="00EA53BB"/>
    <w:rsid w:val="00F14AF6"/>
    <w:rsid w:val="00F2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6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3B48"/>
    <w:pPr>
      <w:keepNext/>
      <w:keepLines/>
      <w:pageBreakBefore/>
      <w:numPr>
        <w:numId w:val="1"/>
      </w:numPr>
      <w:spacing w:before="100" w:beforeAutospacing="1" w:after="100" w:afterAutospacing="1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A65E12"/>
    <w:pPr>
      <w:keepNext/>
      <w:keepLines/>
      <w:numPr>
        <w:ilvl w:val="1"/>
        <w:numId w:val="1"/>
      </w:numPr>
      <w:spacing w:before="100" w:beforeAutospacing="1" w:after="100" w:afterAutospacing="1" w:line="360" w:lineRule="auto"/>
      <w:ind w:leftChars="100" w:left="0" w:rightChars="100" w:right="100"/>
      <w:outlineLvl w:val="1"/>
    </w:pPr>
    <w:rPr>
      <w:rFonts w:ascii="Cambria" w:eastAsia="宋体" w:hAnsi="Cambria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A65E12"/>
    <w:pPr>
      <w:keepNext/>
      <w:keepLines/>
      <w:numPr>
        <w:ilvl w:val="2"/>
        <w:numId w:val="1"/>
      </w:numPr>
      <w:spacing w:before="100" w:beforeAutospacing="1" w:after="100" w:afterAutospacing="1" w:line="360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B48"/>
    <w:rPr>
      <w:sz w:val="18"/>
      <w:szCs w:val="18"/>
    </w:rPr>
  </w:style>
  <w:style w:type="character" w:customStyle="1" w:styleId="1Char">
    <w:name w:val="标题 1 Char"/>
    <w:basedOn w:val="a0"/>
    <w:link w:val="1"/>
    <w:rsid w:val="005A3B4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A65E12"/>
    <w:rPr>
      <w:rFonts w:ascii="Cambria" w:eastAsia="宋体" w:hAnsi="Cambria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A65E12"/>
    <w:rPr>
      <w:rFonts w:ascii="Times New Roman" w:eastAsia="宋体" w:hAnsi="Times New Roman" w:cs="Times New Roman"/>
      <w:b/>
      <w:bCs/>
      <w:sz w:val="28"/>
      <w:szCs w:val="32"/>
    </w:rPr>
  </w:style>
  <w:style w:type="paragraph" w:styleId="a5">
    <w:name w:val="List Paragraph"/>
    <w:aliases w:val="List,List1,lp1,FooterText,numbered,Paragraphe de liste1,List11,表格说明样式,业务规则操作数据,List Paragraph11,List111,List1111,List11111,List111111,List1111111,List11111111,List111111111,List3,List1111111111,List Paragraph2,5.1.1,表格段落,列出段落11,彩色列表 - 着色 11,编号,符号列表"/>
    <w:basedOn w:val="a"/>
    <w:link w:val="Char1"/>
    <w:uiPriority w:val="34"/>
    <w:qFormat/>
    <w:rsid w:val="005A3B48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Char1">
    <w:name w:val="列出段落 Char"/>
    <w:aliases w:val="List Char,List1 Char,lp1 Char,FooterText Char,numbered Char,Paragraphe de liste1 Char,List11 Char,表格说明样式 Char,业务规则操作数据 Char,List Paragraph11 Char,List111 Char,List1111 Char,List11111 Char,List111111 Char,List1111111 Char,List11111111 Char"/>
    <w:link w:val="a5"/>
    <w:uiPriority w:val="34"/>
    <w:qFormat/>
    <w:rsid w:val="005A3B48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田刚林</dc:creator>
  <cp:keywords/>
  <dc:description/>
  <cp:lastModifiedBy>王芳</cp:lastModifiedBy>
  <cp:revision>6</cp:revision>
  <dcterms:created xsi:type="dcterms:W3CDTF">2021-09-15T00:19:00Z</dcterms:created>
  <dcterms:modified xsi:type="dcterms:W3CDTF">2021-10-25T09:32:00Z</dcterms:modified>
</cp:coreProperties>
</file>