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475" w:tblpY="4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测评系统名称</w:t>
            </w:r>
          </w:p>
        </w:tc>
        <w:tc>
          <w:tcPr>
            <w:tcW w:w="4790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HIS</w:t>
            </w:r>
          </w:p>
        </w:tc>
        <w:tc>
          <w:tcPr>
            <w:tcW w:w="4790" w:type="dxa"/>
            <w:vMerge w:val="restart"/>
            <w:vAlign w:val="center"/>
          </w:tcPr>
          <w:p>
            <w:pPr>
              <w:pStyle w:val="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机房环境、基础网络、服务器环境、应用系统环境、各软硬件漏洞。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LIS</w:t>
            </w:r>
          </w:p>
        </w:tc>
        <w:tc>
          <w:tcPr>
            <w:tcW w:w="4790" w:type="dxa"/>
            <w:vMerge w:val="continue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PACS</w:t>
            </w:r>
          </w:p>
        </w:tc>
        <w:tc>
          <w:tcPr>
            <w:tcW w:w="4790" w:type="dxa"/>
            <w:vMerge w:val="continue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EMR</w:t>
            </w:r>
          </w:p>
        </w:tc>
        <w:tc>
          <w:tcPr>
            <w:tcW w:w="4790" w:type="dxa"/>
            <w:vMerge w:val="continue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集成平台</w:t>
            </w:r>
          </w:p>
        </w:tc>
        <w:tc>
          <w:tcPr>
            <w:tcW w:w="4790" w:type="dxa"/>
            <w:vMerge w:val="continue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85" w:type="dxa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官方网站</w:t>
            </w:r>
          </w:p>
        </w:tc>
        <w:tc>
          <w:tcPr>
            <w:tcW w:w="4790" w:type="dxa"/>
            <w:vMerge w:val="continue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723" w:firstLineChars="2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年信息安全等级保护测评咨询参数</w:t>
      </w:r>
    </w:p>
    <w:p>
      <w:pPr>
        <w:ind w:firstLine="560" w:firstLineChars="200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为加强我院信息安全建设，我院拟开展对下列系统2021年度的信息安全等级保护（第三级）的相关测评工作。相关系统内容如下：</w:t>
      </w: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pStyle w:val="3"/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47"/>
        <w:gridCol w:w="450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评分因素及权重</w:t>
            </w:r>
          </w:p>
        </w:tc>
        <w:tc>
          <w:tcPr>
            <w:tcW w:w="4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报价30%</w:t>
            </w:r>
          </w:p>
        </w:tc>
        <w:tc>
          <w:tcPr>
            <w:tcW w:w="4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7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1、满足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文件要求且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价格最低的有效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报价为评标基准价，其价格分为满分。其它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人的价格分统一按照下列公式计算；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报价得分＝（评标基准价/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报价）X 30% X 100;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44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测评方案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20%</w:t>
            </w:r>
          </w:p>
        </w:tc>
        <w:tc>
          <w:tcPr>
            <w:tcW w:w="4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lang w:val="en-US" w:eastAsia="zh-CN"/>
              </w:rPr>
              <w:t>20</w:t>
            </w:r>
          </w:p>
        </w:tc>
        <w:tc>
          <w:tcPr>
            <w:tcW w:w="702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1.测评方案中包含测评流程、测评方法、测评指标和配合需求的得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</w:rPr>
              <w:t>分，未包含完整的得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</w:rPr>
              <w:t>分，一项未包含的不得分；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2.正确理解网络安全等级测评，测评思路清晰、测评内容完整、测评重点突出，针对每点测评要求项提出完善的测评方法，方法全面、合理，并具有很强的针对性的得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</w:rPr>
              <w:t>分，</w:t>
            </w:r>
            <w:r>
              <w:rPr>
                <w:rFonts w:hint="eastAsia" w:cs="宋体" w:asciiTheme="minorEastAsia" w:hAnsiTheme="minorEastAsia" w:eastAsiaTheme="minorEastAsia"/>
                <w:color w:val="000000"/>
              </w:rPr>
              <w:t>较为全面、合理，方法针对性较强得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</w:rPr>
              <w:t>分，未提供的不得分；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2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产品技术指标和信誉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咨询参与方，必须提供具备国家信息安全等级测评的资格文件，提供相关文件加盖公章。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咨询参与方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咨询参与方有类似的业绩按合作作为评比标准，三甲医院使用数量：&gt;=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的20分，少一家扣4分，扣完为至。（提供医院证明截图或者复印件材料，未提供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按未提供处理）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文件规范性、完整性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现场咨询情况10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文件制作规范，没有细微偏差情形的得满分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分，有一项细微偏差扣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分，直到该项分值扣完为止。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2.现场咨询阶段，咨询参与方回答项目之外的问题提问情况，咨询方未提问得3分，回答不满意1次扣0.5分，扣完为止。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422E"/>
    <w:rsid w:val="5D5A5B3C"/>
    <w:rsid w:val="5F83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2021-08-25T00:26:00Z</dcterms:created>
  <dc:creator>言之命至</dc:creator>
  <cp:lastModifiedBy>虫虫</cp:lastModifiedBy>
  <cp:lastPrinted>2021-09-06T00:14:28Z</cp:lastPrinted>
  <dcterms:modified xsi:type="dcterms:W3CDTF">2021-09-06T00:14:34Z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0C6C9676AA9F4849845FC7199D021D04</vt:lpwstr>
  </property>
</Properties>
</file>