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经皮神经电刺激治疗仪</w:t>
      </w:r>
    </w:p>
    <w:p>
      <w:p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1、输出波形:为无极性双向不对称脉冲。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2、脉冲宽度: 20μs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~</w:t>
      </w:r>
      <w:r>
        <w:rPr>
          <w:rFonts w:ascii="宋体" w:hAnsi="宋体" w:eastAsia="宋体" w:cs="宋体"/>
          <w:sz w:val="28"/>
          <w:szCs w:val="28"/>
        </w:rPr>
        <w:t>500μs连续可调，允差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ascii="宋体" w:hAnsi="宋体" w:eastAsia="宋体" w:cs="宋体"/>
          <w:sz w:val="28"/>
          <w:szCs w:val="28"/>
        </w:rPr>
        <w:t>20%。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3、脉冲频率:在2Hz~ 160Hz范围连续可调，允差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ascii="宋体" w:hAnsi="宋体" w:eastAsia="宋体" w:cs="宋体"/>
          <w:sz w:val="28"/>
          <w:szCs w:val="28"/>
        </w:rPr>
        <w:t>10%。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4、输出电流:仪器各路独立输出，在500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Ω</w:t>
      </w:r>
      <w:r>
        <w:rPr>
          <w:rFonts w:ascii="宋体" w:hAnsi="宋体" w:eastAsia="宋体" w:cs="宋体"/>
          <w:sz w:val="28"/>
          <w:szCs w:val="28"/>
        </w:rPr>
        <w:t>负载阻抗时,每路输出电流峰值Ip从0mA~99mA可调。最大输出值，允差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ascii="宋体" w:hAnsi="宋体" w:eastAsia="宋体" w:cs="宋体"/>
          <w:sz w:val="28"/>
          <w:szCs w:val="28"/>
        </w:rPr>
        <w:t>30%。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5、定时设置:5min-9h55min 连续可调，步进5min。允许偏差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10%。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6、连续工作时间:不少于4h。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7、具有10种治疗状态:1)连续波MO;2)疏密波M1;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A0C36"/>
    <w:rsid w:val="2FDA640F"/>
    <w:rsid w:val="365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2021-09-07T01:26:57Z</dcterms:created>
  <dc:creator>admin</dc:creator>
  <cp:lastModifiedBy>Story</cp:lastModifiedBy>
  <dcterms:modified xsi:type="dcterms:W3CDTF">2021-09-07T01:36:55Z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E384C2EEFFBE4814AAC8A421D451BABE</vt:lpwstr>
  </property>
</Properties>
</file>