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江油市人民医院HRP系统（第一期）</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rPr>
        <w:t>需求</w:t>
      </w:r>
      <w:r>
        <w:rPr>
          <w:rFonts w:hint="eastAsia" w:cs="宋体"/>
          <w:sz w:val="36"/>
          <w:szCs w:val="36"/>
          <w:lang w:val="en-US" w:eastAsia="zh-CN"/>
        </w:rPr>
        <w:t>文件</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8"/>
          <w:szCs w:val="28"/>
        </w:rPr>
      </w:pPr>
      <w:r>
        <w:rPr>
          <w:rFonts w:hint="eastAsia" w:cs="宋体"/>
          <w:sz w:val="28"/>
          <w:szCs w:val="28"/>
          <w:lang w:val="en-US" w:eastAsia="zh-CN"/>
        </w:rPr>
        <w:t>一、</w:t>
      </w:r>
      <w:r>
        <w:rPr>
          <w:rFonts w:hint="eastAsia" w:ascii="宋体" w:hAnsi="宋体" w:eastAsia="宋体" w:cs="宋体"/>
          <w:sz w:val="28"/>
          <w:szCs w:val="28"/>
        </w:rPr>
        <w:t>要求系统满足以下三个重要业务要求：</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 xml:space="preserve">以财务为核心的业务整合逻辑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固定资产系统发生的入库、出库、维修、折旧等业务处理单据可自动生成会计凭证；物流管理系统发生的采购、入库、出库等业务处理单据可自动生成会计凭证；系统发生的门诊收费、住院预交、出院结算、在院结算等业务单据可自动生成会计凭证； </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 xml:space="preserve">以预算为核心的业务整合逻辑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预算系统中实现科室支出预算管理，并与会计核算系统自动建立借款、报销与支出环节的凭证生成功能； 预算系统可依据成本核算系统的实际发生数自动核销预算。 </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 xml:space="preserve">以成本为核心的业务整合逻辑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成本核算系统获取物流管理系统中的科室材料消耗数据作为科室直接材料成本；成本核算系统获取固定资产管理系统中的科室使用设备、房屋等固定资产的折旧、维修费用作为科室直接成本；成本核算系统获取会计核算系统中的医疗支出、管理支出科目下的支出数据作为科室直接成本；成本核算系统获取 HIS 系统中发生的科室收入、门急诊人次、住院床日数据。 </w:t>
      </w:r>
    </w:p>
    <w:p>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jc w:val="left"/>
        <w:textAlignment w:val="auto"/>
        <w:rPr>
          <w:rFonts w:hint="eastAsia" w:cs="宋体"/>
          <w:sz w:val="24"/>
          <w:szCs w:val="24"/>
          <w:lang w:val="en-US" w:eastAsia="zh-CN"/>
        </w:rPr>
      </w:pPr>
      <w:r>
        <w:rPr>
          <w:rFonts w:hint="eastAsia" w:cs="宋体"/>
          <w:sz w:val="24"/>
          <w:szCs w:val="24"/>
          <w:lang w:val="en-US" w:eastAsia="zh-CN"/>
        </w:rPr>
        <w:t>以便民为基础的业务流程</w:t>
      </w:r>
    </w:p>
    <w:p>
      <w:pPr>
        <w:keepNext w:val="0"/>
        <w:keepLines w:val="0"/>
        <w:pageBreakBefore w:val="0"/>
        <w:widowControl w:val="0"/>
        <w:numPr>
          <w:numId w:val="0"/>
        </w:numPr>
        <w:kinsoku/>
        <w:wordWrap/>
        <w:overflowPunct/>
        <w:topLinePunct w:val="0"/>
        <w:autoSpaceDE w:val="0"/>
        <w:autoSpaceDN w:val="0"/>
        <w:bidi w:val="0"/>
        <w:adjustRightInd/>
        <w:snapToGrid/>
        <w:spacing w:line="240" w:lineRule="auto"/>
        <w:ind w:left="420" w:leftChars="0" w:right="0" w:rightChars="0"/>
        <w:jc w:val="left"/>
        <w:textAlignment w:val="auto"/>
        <w:rPr>
          <w:rFonts w:hint="default" w:cs="宋体"/>
          <w:sz w:val="24"/>
          <w:szCs w:val="24"/>
          <w:lang w:val="en-US" w:eastAsia="zh-CN"/>
        </w:rPr>
      </w:pPr>
      <w:r>
        <w:rPr>
          <w:rFonts w:hint="eastAsia" w:cs="宋体"/>
          <w:sz w:val="24"/>
          <w:szCs w:val="24"/>
          <w:lang w:val="en-US" w:eastAsia="zh-CN"/>
        </w:rPr>
        <w:t>支持app在线报账、在线审核、在线查询各项流程进度等便民功能。</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32"/>
          <w:szCs w:val="32"/>
        </w:rPr>
      </w:pPr>
      <w:r>
        <w:rPr>
          <w:rFonts w:hint="eastAsia" w:cs="宋体"/>
          <w:sz w:val="32"/>
          <w:szCs w:val="32"/>
          <w:lang w:val="en-US" w:eastAsia="zh-CN"/>
        </w:rPr>
        <w:t>二、</w:t>
      </w:r>
      <w:r>
        <w:rPr>
          <w:rFonts w:hint="eastAsia" w:ascii="宋体" w:hAnsi="宋体" w:eastAsia="宋体" w:cs="宋体"/>
          <w:sz w:val="32"/>
          <w:szCs w:val="32"/>
        </w:rPr>
        <w:t>具体系统如下：</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 xml:space="preserve">财务管理系统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应完全符合财政部《政府会计制度——行政事业单位会计科目和报表》（财会[2019]）的科目、核算原则与报表要求。 支持政府会计准则的改革要求，支持预算会计和财务会计 “平行记账”规则，支持财务会计和预算会计业务凭证双记，审核及报表查询等实现</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财务管理主要包括账务处理、现金银行管理、往来账管理、薪酬发放、财务分析、报表管理、领导查询、票据管理</w:t>
      </w:r>
      <w:r>
        <w:rPr>
          <w:rFonts w:hint="eastAsia" w:cs="宋体"/>
          <w:sz w:val="24"/>
          <w:szCs w:val="24"/>
          <w:lang w:eastAsia="zh-CN"/>
        </w:rPr>
        <w:t>、</w:t>
      </w:r>
      <w:r>
        <w:rPr>
          <w:rFonts w:hint="eastAsia" w:cs="宋体"/>
          <w:sz w:val="24"/>
          <w:szCs w:val="24"/>
          <w:lang w:val="en-US" w:eastAsia="zh-CN"/>
        </w:rPr>
        <w:t>其他应收款项录入</w:t>
      </w:r>
      <w:r>
        <w:rPr>
          <w:rFonts w:hint="eastAsia" w:ascii="宋体" w:hAnsi="宋体" w:eastAsia="宋体" w:cs="宋体"/>
          <w:sz w:val="24"/>
          <w:szCs w:val="24"/>
        </w:rPr>
        <w:t xml:space="preserve">等功能。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实现从原始凭证，到凭证录入、审核、记账，以及各种辅助核算信息的输入和输出，支持部门核算、供应商核算、往来核算等多种辅助核算，同时生成总账、明细账、辅助账等会计账簿备查；支持通过数据交换实现自动提取 HIS 中医疗收入数据生成会计凭证；支持与资产管理、物资管理、报销系统、应收、收入业务模块单据进行对接， 自动生成凭证，凭证可支持联查业务单据；支持通过业务基础平台自动提取物资入出库单、固定资产折旧维修等，能自动提取物流管理系统、固定资产管理的入库、出库、处置等业 务单据，人力资源系统核定的人员薪酬数据等自动生成会计凭证，实现财务业务一体化。  </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 xml:space="preserve">医院预算管理系统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符合 2015 年，财政部、卫计委印发《关于加强公立医院财务和预算管理的指导意见》等最新文件对于医院预算管理的制定要求。 包括：财务预算、收入预算、支出预算、项目预算、资本性支出预算等。</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系统内容支持：预算编制、预算编制方法、预算执行与监控、项目管理、预算综合分析 、预算控制</w:t>
      </w:r>
      <w:r>
        <w:rPr>
          <w:rFonts w:hint="eastAsia"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 xml:space="preserve">资金支出控制系统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医院资金支出控制系统是有效实现支出预算目标的计算机应用程序。其主要目标是通过科室、科目、周期控制来实现对日常报销、差旅费、办公费、物资分类等项目从申请到执行核销进行控制，并对每一笔超出预算的申请和报销给予提示。</w:t>
      </w:r>
      <w:r>
        <w:rPr>
          <w:rFonts w:hint="eastAsia" w:cs="宋体"/>
          <w:sz w:val="24"/>
          <w:szCs w:val="24"/>
          <w:lang w:val="en-US" w:eastAsia="zh-CN"/>
        </w:rPr>
        <w:t>严格按照财务相关规定，结合医院案例，为医院提供多种流程的在线审核，支持流程自定义，支持多领导会签，为医院提供相关案例参考。</w:t>
      </w:r>
      <w:r>
        <w:rPr>
          <w:rFonts w:hint="eastAsia" w:ascii="宋体" w:hAnsi="宋体" w:eastAsia="宋体" w:cs="宋体"/>
          <w:sz w:val="24"/>
          <w:szCs w:val="24"/>
        </w:rPr>
        <w:t xml:space="preserve">系统内容支持：支出预算编制、借款管理、报销管理、报销执行查询、物流采购付款、固定资产采购付款。 </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 xml:space="preserve">医院合同管理系统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合同管理系统包括有合同、协议的签订、履行、变更、违约、索赔、结算、归档等合同全过程管理内容，并与医院的固定资产、无形资产、物流管理、会计核算等系统实现一体化业务整合，结合强大的预警功能，充分体现“合同与实物的一致性监管”、“合同与账务的一致性监管”、“合同履行情况的全过程追踪监管”、“合同往来账款的追踪监管”、“合同全阶段资料文档的监管”等先进管理思想， 进一步提高医院精细化管理水平。 </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医院科研基金管理系统</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科研基金管理系统主要面对科研项目管理部门、课题负责人、财务部门，通过对外部资金、配套资金的到账、预算、报销等全方位的管理，方便课题负责人、科研项目管理部门、财务部门及时掌控所有项目的资金使用情况。系统主要包括外拨资金、配套资金及报销流程三大部分内容。 </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r>
        <w:rPr>
          <w:rFonts w:hint="eastAsia" w:cs="宋体"/>
          <w:sz w:val="24"/>
          <w:szCs w:val="24"/>
          <w:lang w:val="en-US" w:eastAsia="zh-CN"/>
        </w:rPr>
        <w:t>6.</w:t>
      </w:r>
      <w:r>
        <w:rPr>
          <w:rFonts w:hint="eastAsia" w:ascii="宋体" w:hAnsi="宋体" w:eastAsia="宋体" w:cs="宋体"/>
          <w:sz w:val="24"/>
          <w:szCs w:val="24"/>
        </w:rPr>
        <w:t xml:space="preserve">医院科室成本管理系统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left"/>
        <w:textAlignment w:val="auto"/>
        <w:rPr>
          <w:rFonts w:hint="eastAsia" w:cs="宋体"/>
          <w:sz w:val="24"/>
          <w:szCs w:val="24"/>
          <w:lang w:eastAsia="zh-CN"/>
        </w:rPr>
      </w:pPr>
      <w:r>
        <w:rPr>
          <w:rFonts w:hint="eastAsia" w:ascii="宋体" w:hAnsi="宋体" w:eastAsia="宋体" w:cs="宋体"/>
          <w:sz w:val="24"/>
          <w:szCs w:val="24"/>
        </w:rPr>
        <w:t>需结合医院现状，为医院设计成本核算方案，对医院成本核算单元、成本项目、成本分摊方案、作业模型、成本报表体系等内容进行设计，理清各相互之间的数据关系，提供</w:t>
      </w:r>
      <w:r>
        <w:rPr>
          <w:rFonts w:hint="eastAsia" w:cs="宋体"/>
          <w:sz w:val="24"/>
          <w:szCs w:val="24"/>
          <w:lang w:val="en-US" w:eastAsia="zh-CN"/>
        </w:rPr>
        <w:t>其他</w:t>
      </w:r>
      <w:r>
        <w:rPr>
          <w:rFonts w:hint="eastAsia" w:ascii="宋体" w:hAnsi="宋体" w:eastAsia="宋体" w:cs="宋体"/>
          <w:sz w:val="24"/>
          <w:szCs w:val="24"/>
        </w:rPr>
        <w:t>医院成本核算服务详细方案</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133184" behindDoc="1" locked="0" layoutInCell="1" allowOverlap="1">
              <wp:simplePos x="0" y="0"/>
              <wp:positionH relativeFrom="page">
                <wp:posOffset>6556375</wp:posOffset>
              </wp:positionH>
              <wp:positionV relativeFrom="page">
                <wp:posOffset>9768205</wp:posOffset>
              </wp:positionV>
              <wp:extent cx="167005"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right="0"/>
                            <w:jc w:val="left"/>
                            <w:rPr>
                              <w:rFonts w:ascii="Times New Roman"/>
                              <w:sz w:val="18"/>
                            </w:rPr>
                          </w:pPr>
                          <w:r>
                            <w:fldChar w:fldCharType="begin"/>
                          </w:r>
                          <w:r>
                            <w:rPr>
                              <w:rFonts w:ascii="Times New Roman"/>
                              <w:sz w:val="18"/>
                            </w:rPr>
                            <w:instrText xml:space="preserve"> PAGE </w:instrText>
                          </w:r>
                          <w:r>
                            <w:fldChar w:fldCharType="separate"/>
                          </w:r>
                          <w:r>
                            <w:t>37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6.25pt;margin-top:769.15pt;height:12pt;width:13.15pt;mso-position-horizontal-relative:page;mso-position-vertical-relative:page;z-index:-183296;mso-width-relative:page;mso-height-relative:page;" filled="f" stroked="f" coordsize="21600,21600" o:gfxdata="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9SB6DbAAAADwEAAA8AAAAAAAAAAQAgAAAAIgAAAGRycy9kb3ducmV2LnhtbFBL&#10;AQIUABQAAAAIAIdO4kByHGntugEAAHEDAAAOAAAAAAAAAAEAIAAAACoBAABkcnMvZTJvRG9jLnht&#10;bFBLBQYAAAAABgAGAFkBAABWBQAAAAA=&#10;">
              <v:fill on="f" focussize="0,0"/>
              <v:stroke on="f"/>
              <v:imagedata o:title=""/>
              <o:lock v:ext="edit" aspectratio="f"/>
              <v:textbox inset="0mm,0mm,0mm,0mm">
                <w:txbxContent>
                  <w:p>
                    <w:pPr>
                      <w:spacing w:before="12"/>
                      <w:ind w:right="0"/>
                      <w:jc w:val="left"/>
                      <w:rPr>
                        <w:rFonts w:ascii="Times New Roman"/>
                        <w:sz w:val="18"/>
                      </w:rPr>
                    </w:pPr>
                    <w:r>
                      <w:fldChar w:fldCharType="begin"/>
                    </w:r>
                    <w:r>
                      <w:rPr>
                        <w:rFonts w:ascii="Times New Roman"/>
                        <w:sz w:val="18"/>
                      </w:rPr>
                      <w:instrText xml:space="preserve"> PAGE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67835"/>
    <w:multiLevelType w:val="multilevel"/>
    <w:tmpl w:val="68967835"/>
    <w:lvl w:ilvl="0" w:tentative="0">
      <w:start w:val="4"/>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02523"/>
    <w:rsid w:val="1D10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6"/>
    <w:basedOn w:val="1"/>
    <w:next w:val="1"/>
    <w:qFormat/>
    <w:uiPriority w:val="1"/>
    <w:pPr>
      <w:ind w:left="1494"/>
      <w:outlineLvl w:val="6"/>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65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2021-06-18T00:06:00Z</dcterms:created>
  <dc:creator>言之命至</dc:creator>
  <cp:lastModifiedBy>言之命至</cp:lastModifiedBy>
  <dcterms:modified xsi:type="dcterms:W3CDTF">2021-06-18T04:39:07Z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