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sz w:val="30"/>
          <w:szCs w:val="30"/>
        </w:rPr>
      </w:pPr>
      <w:r>
        <w:rPr>
          <w:rFonts w:hint="eastAsia" w:ascii="宋体" w:hAnsi="宋体" w:eastAsia="宋体" w:cs="宋体"/>
          <w:sz w:val="27"/>
          <w:szCs w:val="27"/>
          <w:lang w:val="en-US" w:eastAsia="zh-CN"/>
        </w:rPr>
        <w:t xml:space="preserve">  </w:t>
      </w:r>
      <w:r>
        <w:rPr>
          <w:rFonts w:hint="eastAsia" w:ascii="仿宋" w:hAnsi="仿宋" w:eastAsia="仿宋" w:cs="仿宋"/>
          <w:sz w:val="27"/>
          <w:szCs w:val="27"/>
          <w:lang w:val="en-US" w:eastAsia="zh-CN"/>
        </w:rPr>
        <w:t xml:space="preserve"> </w:t>
      </w:r>
      <w:r>
        <w:rPr>
          <w:rFonts w:hint="eastAsia" w:ascii="宋体" w:hAnsi="宋体" w:eastAsia="宋体" w:cs="宋体"/>
          <w:sz w:val="30"/>
          <w:szCs w:val="30"/>
          <w:lang w:val="en-US" w:eastAsia="zh-CN"/>
        </w:rPr>
        <w:t xml:space="preserve">   为落实惠民服务措施，提高我院就诊/住院患者及其家属的满意率，我院就自助便民服务柜的场地进行公开招租，欢迎有意向参与投标的供应商、厂家递送相关资料及报价。</w:t>
      </w:r>
    </w:p>
    <w:p>
      <w:pPr>
        <w:numPr>
          <w:ilvl w:val="0"/>
          <w:numId w:val="0"/>
        </w:numPr>
        <w:ind w:left="0" w:leftChars="0" w:firstLine="0" w:firstLineChars="0"/>
        <w:jc w:val="both"/>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一、采购项目内容及需求</w:t>
      </w:r>
    </w:p>
    <w:p>
      <w:pPr>
        <w:numPr>
          <w:ilvl w:val="0"/>
          <w:numId w:val="0"/>
        </w:numPr>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1.采购项目内容</w:t>
      </w:r>
    </w:p>
    <w:tbl>
      <w:tblPr>
        <w:tblStyle w:val="4"/>
        <w:tblW w:w="8791"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68"/>
        <w:gridCol w:w="1678"/>
        <w:gridCol w:w="1947"/>
        <w:gridCol w:w="2049"/>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序号</w:t>
            </w:r>
          </w:p>
        </w:tc>
        <w:tc>
          <w:tcPr>
            <w:tcW w:w="1678" w:type="dxa"/>
            <w:tcBorders>
              <w:top w:val="single" w:color="auto" w:sz="4" w:space="0"/>
              <w:left w:val="nil"/>
              <w:bottom w:val="single" w:color="auto" w:sz="4" w:space="0"/>
              <w:right w:val="single" w:color="auto" w:sz="4" w:space="0"/>
            </w:tcBorders>
            <w:shd w:val="clear" w:color="auto" w:fill="auto"/>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项目名称</w:t>
            </w:r>
          </w:p>
        </w:tc>
        <w:tc>
          <w:tcPr>
            <w:tcW w:w="1947" w:type="dxa"/>
            <w:tcBorders>
              <w:top w:val="single" w:color="auto" w:sz="4" w:space="0"/>
              <w:left w:val="nil"/>
              <w:bottom w:val="single" w:color="auto" w:sz="4" w:space="0"/>
              <w:right w:val="single" w:color="auto" w:sz="4" w:space="0"/>
            </w:tcBorders>
            <w:shd w:val="clear" w:color="auto" w:fill="auto"/>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设备数量（台）</w:t>
            </w:r>
          </w:p>
        </w:tc>
        <w:tc>
          <w:tcPr>
            <w:tcW w:w="2049" w:type="dxa"/>
            <w:tcBorders>
              <w:top w:val="single" w:color="auto" w:sz="4" w:space="0"/>
              <w:left w:val="nil"/>
              <w:bottom w:val="single" w:color="auto" w:sz="4" w:space="0"/>
              <w:right w:val="single" w:color="auto" w:sz="4" w:space="0"/>
            </w:tcBorders>
            <w:shd w:val="clear" w:color="auto" w:fill="auto"/>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交付时间</w:t>
            </w:r>
          </w:p>
        </w:tc>
        <w:tc>
          <w:tcPr>
            <w:tcW w:w="2249" w:type="dxa"/>
            <w:tcBorders>
              <w:top w:val="single" w:color="auto" w:sz="4" w:space="0"/>
              <w:left w:val="nil"/>
              <w:bottom w:val="single" w:color="auto" w:sz="4" w:space="0"/>
              <w:right w:val="single" w:color="auto" w:sz="4" w:space="0"/>
            </w:tcBorders>
            <w:shd w:val="clear" w:color="auto" w:fill="auto"/>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交付地点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6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w:t>
            </w:r>
          </w:p>
        </w:tc>
        <w:tc>
          <w:tcPr>
            <w:tcW w:w="1678" w:type="dxa"/>
            <w:tcBorders>
              <w:top w:val="single" w:color="auto" w:sz="4" w:space="0"/>
              <w:left w:val="nil"/>
              <w:bottom w:val="single" w:color="auto" w:sz="4" w:space="0"/>
              <w:right w:val="single" w:color="auto" w:sz="4" w:space="0"/>
            </w:tcBorders>
            <w:shd w:val="clear" w:color="auto" w:fill="auto"/>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自助便民服务柜场地招租</w:t>
            </w:r>
          </w:p>
        </w:tc>
        <w:tc>
          <w:tcPr>
            <w:tcW w:w="1947" w:type="dxa"/>
            <w:tcBorders>
              <w:top w:val="single" w:color="auto" w:sz="4" w:space="0"/>
              <w:left w:val="nil"/>
              <w:bottom w:val="single" w:color="auto" w:sz="4" w:space="0"/>
              <w:right w:val="single" w:color="auto" w:sz="4" w:space="0"/>
            </w:tcBorders>
            <w:shd w:val="clear" w:color="auto" w:fill="auto"/>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数量及安装位置按医院要求确定（不低于5台）。</w:t>
            </w:r>
          </w:p>
        </w:tc>
        <w:tc>
          <w:tcPr>
            <w:tcW w:w="2049" w:type="dxa"/>
            <w:tcBorders>
              <w:top w:val="single" w:color="auto" w:sz="4" w:space="0"/>
              <w:left w:val="nil"/>
              <w:bottom w:val="single" w:color="auto" w:sz="4" w:space="0"/>
              <w:right w:val="single" w:color="auto" w:sz="4" w:space="0"/>
            </w:tcBorders>
            <w:shd w:val="clear" w:color="auto" w:fill="auto"/>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自签订合同之日起30日内设备）安装调试完毕，验收合格投入使用。</w:t>
            </w:r>
          </w:p>
        </w:tc>
        <w:tc>
          <w:tcPr>
            <w:tcW w:w="2249" w:type="dxa"/>
            <w:tcBorders>
              <w:top w:val="single" w:color="auto" w:sz="4" w:space="0"/>
              <w:left w:val="nil"/>
              <w:bottom w:val="single" w:color="auto" w:sz="4" w:space="0"/>
              <w:right w:val="single" w:color="auto" w:sz="4" w:space="0"/>
            </w:tcBorders>
            <w:shd w:val="clear" w:color="auto" w:fill="auto"/>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江油市人民医院内指定地点。（每台智能医柜售货机约占用面积1平方米）</w:t>
            </w:r>
          </w:p>
        </w:tc>
      </w:tr>
    </w:tbl>
    <w:p>
      <w:pPr>
        <w:numPr>
          <w:ilvl w:val="0"/>
          <w:numId w:val="1"/>
        </w:numPr>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租赁期：承租之日起三年（合同一年一签）。</w:t>
      </w:r>
    </w:p>
    <w:p>
      <w:pPr>
        <w:numPr>
          <w:ilvl w:val="0"/>
          <w:numId w:val="0"/>
        </w:numPr>
        <w:ind w:left="0" w:leftChars="0" w:firstLine="0" w:firstLineChars="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租金支付方式：签订合同之日前，支付当年租赁费用（缴纳年限为整年</w:t>
      </w:r>
      <w:r>
        <w:rPr>
          <w:rFonts w:hint="eastAsia" w:ascii="宋体" w:hAnsi="宋体" w:eastAsia="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kern w:val="2"/>
          <w:sz w:val="30"/>
          <w:szCs w:val="30"/>
          <w:lang w:val="en-US" w:eastAsia="zh-CN" w:bidi="ar-SA"/>
        </w:rPr>
        <w:t>电费（电费按照实际消耗结算，电表安装由中标方负责）。</w:t>
      </w:r>
    </w:p>
    <w:p>
      <w:pPr>
        <w:numPr>
          <w:ilvl w:val="0"/>
          <w:numId w:val="1"/>
        </w:numPr>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评分标准：</w:t>
      </w:r>
    </w:p>
    <w:tbl>
      <w:tblPr>
        <w:tblStyle w:val="4"/>
        <w:tblW w:w="47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516"/>
        <w:gridCol w:w="5128"/>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2"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评分因素</w:t>
            </w:r>
          </w:p>
        </w:tc>
        <w:tc>
          <w:tcPr>
            <w:tcW w:w="291"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分值</w:t>
            </w:r>
          </w:p>
        </w:tc>
        <w:tc>
          <w:tcPr>
            <w:tcW w:w="3177"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评分标准</w:t>
            </w:r>
          </w:p>
        </w:tc>
        <w:tc>
          <w:tcPr>
            <w:tcW w:w="728"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评审分类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02"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价格</w:t>
            </w:r>
          </w:p>
        </w:tc>
        <w:tc>
          <w:tcPr>
            <w:tcW w:w="291"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30</w:t>
            </w:r>
          </w:p>
        </w:tc>
        <w:tc>
          <w:tcPr>
            <w:tcW w:w="3177"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以投标人最高价为基准价，报价得分=报价/基准价*30。最低限价：每台每点位每年</w:t>
            </w:r>
            <w:r>
              <w:rPr>
                <w:rFonts w:hint="eastAsia" w:ascii="宋体" w:hAnsi="宋体" w:eastAsia="宋体" w:cs="宋体"/>
                <w:color w:val="FF0000"/>
                <w:sz w:val="30"/>
                <w:szCs w:val="30"/>
                <w:lang w:val="en-US" w:eastAsia="zh-CN"/>
              </w:rPr>
              <w:t>不低于2000元。</w:t>
            </w:r>
          </w:p>
        </w:tc>
        <w:tc>
          <w:tcPr>
            <w:tcW w:w="728"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2"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项目实施方案</w:t>
            </w:r>
          </w:p>
        </w:tc>
        <w:tc>
          <w:tcPr>
            <w:tcW w:w="291"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25</w:t>
            </w:r>
          </w:p>
        </w:tc>
        <w:tc>
          <w:tcPr>
            <w:tcW w:w="3177"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根据供应商针对本项目提供的项目实施方案。至少包含：对本项的目的、背景、需求解读；相关法律法规政策解读与执行；投诉处理流程；项目实施方案描述等内容。各部分与本项目相关要求紧密结合，有利于促进本项目顺利开展实施的得25分，在此基础上每有一项内容不完善或不规范或存在瑕疵的，扣5分；每缺少一项内容或提供与本项目完全无关或存在逻辑性错误的项目实施方案扣10分，扣完为止。</w:t>
            </w:r>
          </w:p>
        </w:tc>
        <w:tc>
          <w:tcPr>
            <w:tcW w:w="728"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p>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02"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售后服务</w:t>
            </w:r>
          </w:p>
        </w:tc>
        <w:tc>
          <w:tcPr>
            <w:tcW w:w="291"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25</w:t>
            </w:r>
          </w:p>
        </w:tc>
        <w:tc>
          <w:tcPr>
            <w:tcW w:w="3177"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根据供应商提供的售后服务方案，售后方案符合招标方实际情况，切实可行；至少包括：网点设置；应急措施；人员安排；货源质量保障措施；便民服务柜维护方案。全部满足得25分，缺1项扣5分，每1项有缺陷扣3分。说明：“缺陷”指：方案内容与实际情况不匹配、不符合项目特点、不符合服务要求、内容简略、内容与本项目无关、前后逻辑相悖、相同内容表述不一致、地点区域错误、方案与标题内容不一致、 技术规范（如有）要求引用不一 致等任意一种情形。</w:t>
            </w:r>
          </w:p>
        </w:tc>
        <w:tc>
          <w:tcPr>
            <w:tcW w:w="728"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p>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p>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802"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bookmarkStart w:id="0" w:name="_GoBack" w:colFirst="2" w:colLast="2"/>
            <w:r>
              <w:rPr>
                <w:rFonts w:hint="eastAsia" w:ascii="宋体" w:hAnsi="宋体" w:eastAsia="宋体" w:cs="宋体"/>
                <w:sz w:val="30"/>
                <w:szCs w:val="30"/>
                <w:lang w:val="en-US" w:eastAsia="zh-CN"/>
              </w:rPr>
              <w:t>业绩</w:t>
            </w:r>
          </w:p>
        </w:tc>
        <w:tc>
          <w:tcPr>
            <w:tcW w:w="291"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w:t>
            </w:r>
          </w:p>
        </w:tc>
        <w:tc>
          <w:tcPr>
            <w:tcW w:w="3177"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投标人提供2021年至今相似业绩，一个得5分，最多得20分。提供合同或中标/成交通知书等证明材料。</w:t>
            </w:r>
          </w:p>
        </w:tc>
        <w:tc>
          <w:tcPr>
            <w:tcW w:w="728" w:type="pct"/>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7"/>
              <w:keepNext w:val="0"/>
              <w:keepLines w:val="0"/>
              <w:pageBreakBefore w:val="0"/>
              <w:numPr>
                <w:ilvl w:val="0"/>
                <w:numId w:val="0"/>
              </w:numPr>
              <w:kinsoku/>
              <w:wordWrap/>
              <w:overflowPunct/>
              <w:topLinePunct w:val="0"/>
              <w:bidi w:val="0"/>
              <w:snapToGrid w:val="0"/>
              <w:spacing w:line="240" w:lineRule="atLeast"/>
              <w:ind w:firstLine="0" w:firstLineChars="0"/>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客观分</w:t>
            </w:r>
          </w:p>
        </w:tc>
      </w:tr>
      <w:bookmarkEnd w:id="0"/>
    </w:tbl>
    <w:p>
      <w:pPr>
        <w:numPr>
          <w:ilvl w:val="0"/>
          <w:numId w:val="0"/>
        </w:numPr>
        <w:ind w:left="0" w:leftChars="0" w:firstLine="0" w:firstLineChars="0"/>
        <w:jc w:val="both"/>
        <w:rPr>
          <w:rFonts w:hint="eastAsia" w:ascii="宋体" w:hAnsi="宋体" w:eastAsia="宋体" w:cs="宋体"/>
          <w:b/>
          <w:bCs/>
          <w:kern w:val="2"/>
          <w:sz w:val="30"/>
          <w:szCs w:val="30"/>
          <w:lang w:val="en-US" w:eastAsia="zh-CN" w:bidi="ar-SA"/>
        </w:rPr>
      </w:pPr>
      <w:r>
        <w:rPr>
          <w:rFonts w:hint="eastAsia" w:ascii="宋体" w:hAnsi="宋体" w:eastAsia="宋体" w:cs="宋体"/>
          <w:b/>
          <w:bCs/>
          <w:kern w:val="2"/>
          <w:sz w:val="30"/>
          <w:szCs w:val="30"/>
          <w:lang w:val="en-US" w:eastAsia="zh-CN" w:bidi="ar-SA"/>
        </w:rPr>
        <w:t>二、其他要求</w:t>
      </w:r>
    </w:p>
    <w:p>
      <w:pPr>
        <w:numPr>
          <w:ilvl w:val="0"/>
          <w:numId w:val="0"/>
        </w:numPr>
        <w:ind w:left="0" w:leftChars="0" w:firstLine="0" w:firstLineChars="0"/>
        <w:jc w:val="both"/>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（1）经营内容：签订合同时由投标方提供经营清单。后续如需调整（增加、减少、变更等）须由投标方申请，经医院审核后确认后方能调整。不得以任何形式利用该场所进行非法活动。</w:t>
      </w:r>
    </w:p>
    <w:p>
      <w:pPr>
        <w:numPr>
          <w:ilvl w:val="0"/>
          <w:numId w:val="0"/>
        </w:numPr>
        <w:ind w:left="0" w:leftChars="0" w:firstLine="0" w:firstLineChars="0"/>
        <w:jc w:val="both"/>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(2)价格控制：属日用品、消毒品的，投标方报价应不高于我院所在地门市价格；属医疗器械的须提供价格佐证材料（四川内地区近2年合同、发票等有效证明均可）。价格发生调整的，须经医院审核确认。</w:t>
      </w:r>
    </w:p>
    <w:p>
      <w:pPr>
        <w:numPr>
          <w:ilvl w:val="0"/>
          <w:numId w:val="0"/>
        </w:numPr>
        <w:ind w:left="0" w:leftChars="0" w:firstLine="0" w:firstLineChars="0"/>
        <w:jc w:val="both"/>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(3)设备产权：归投标方所有，一切维护成本均与医院无关</w:t>
      </w:r>
    </w:p>
    <w:p>
      <w:pPr>
        <w:numPr>
          <w:ilvl w:val="0"/>
          <w:numId w:val="0"/>
        </w:numPr>
        <w:ind w:left="0" w:leftChars="0" w:firstLine="0" w:firstLineChars="0"/>
        <w:jc w:val="both"/>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(4)经营要求：投标方独立经营，与医院无关。经营行为须满足市场监督管理局要求，属医疗器械的投标方还须按照《医疗器械监督管理条例》进行管理。</w:t>
      </w:r>
    </w:p>
    <w:p>
      <w:pPr>
        <w:numPr>
          <w:ilvl w:val="0"/>
          <w:numId w:val="0"/>
        </w:numPr>
        <w:ind w:left="0" w:leftChars="0" w:firstLine="0" w:firstLineChars="0"/>
        <w:jc w:val="both"/>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（5)质量保证：投标方经营产品须是满足市场要求的合规产品，出现任何质量问题均由投标方承担，与医院无关。</w:t>
      </w:r>
    </w:p>
    <w:p>
      <w:pPr>
        <w:numPr>
          <w:ilvl w:val="0"/>
          <w:numId w:val="0"/>
        </w:numPr>
        <w:ind w:left="0" w:leftChars="0" w:firstLine="0" w:firstLineChars="0"/>
        <w:jc w:val="both"/>
        <w:rPr>
          <w:rFonts w:hint="eastAsia" w:ascii="宋体" w:hAnsi="宋体" w:eastAsia="宋体" w:cs="宋体"/>
          <w:kern w:val="2"/>
          <w:sz w:val="30"/>
          <w:szCs w:val="30"/>
          <w:lang w:val="en-US" w:eastAsia="zh-CN" w:bidi="ar-SA"/>
        </w:rPr>
      </w:pPr>
      <w:r>
        <w:rPr>
          <w:rFonts w:hint="eastAsia" w:ascii="宋体" w:hAnsi="宋体" w:eastAsia="宋体" w:cs="宋体"/>
          <w:kern w:val="2"/>
          <w:sz w:val="30"/>
          <w:szCs w:val="30"/>
          <w:lang w:val="en-US" w:eastAsia="zh-CN" w:bidi="ar-SA"/>
        </w:rPr>
        <w:t>(6)其他：</w:t>
      </w:r>
    </w:p>
    <w:p>
      <w:pPr>
        <w:numPr>
          <w:ilvl w:val="0"/>
          <w:numId w:val="2"/>
        </w:numPr>
        <w:ind w:leftChars="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如因机器故障或销售商品质量及合法性引起的投诉或意外事故以及违规违法等，投标方应安排人员在30分钟内到达现场处理，医院不承担任何责任。</w:t>
      </w:r>
    </w:p>
    <w:p>
      <w:pPr>
        <w:numPr>
          <w:ilvl w:val="0"/>
          <w:numId w:val="2"/>
        </w:numPr>
        <w:ind w:leftChars="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投标方有违法经营或超约定范围经营的，医院有权单方解除合同，并要求投标方在收到医院解除合同通知后三日将相关设备撤除，否则医院有权单方拆除，已经收取的租赁费用不予退还，所有损失均由投标方承担。</w:t>
      </w:r>
    </w:p>
    <w:p>
      <w:pPr>
        <w:numPr>
          <w:ilvl w:val="0"/>
          <w:numId w:val="2"/>
        </w:numPr>
        <w:ind w:leftChars="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其他未尽事项双方可在合同内另行约定。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3D4F2"/>
    <w:multiLevelType w:val="singleLevel"/>
    <w:tmpl w:val="8C43D4F2"/>
    <w:lvl w:ilvl="0" w:tentative="0">
      <w:start w:val="2"/>
      <w:numFmt w:val="decimal"/>
      <w:lvlText w:val="%1."/>
      <w:lvlJc w:val="left"/>
      <w:pPr>
        <w:tabs>
          <w:tab w:val="left" w:pos="312"/>
        </w:tabs>
      </w:pPr>
    </w:lvl>
  </w:abstractNum>
  <w:abstractNum w:abstractNumId="1">
    <w:nsid w:val="D2AE833E"/>
    <w:multiLevelType w:val="singleLevel"/>
    <w:tmpl w:val="D2AE833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MTg0NzQ0YmI2OTZjOGJlZGZkNTAzYjYzY2NiNWUifQ=="/>
  </w:docVars>
  <w:rsids>
    <w:rsidRoot w:val="00000000"/>
    <w:rsid w:val="01043612"/>
    <w:rsid w:val="0683688E"/>
    <w:rsid w:val="0DAF693D"/>
    <w:rsid w:val="12834530"/>
    <w:rsid w:val="15FA6724"/>
    <w:rsid w:val="165754AD"/>
    <w:rsid w:val="209009CE"/>
    <w:rsid w:val="2D6A3D37"/>
    <w:rsid w:val="307A5B66"/>
    <w:rsid w:val="327C5F03"/>
    <w:rsid w:val="33B03740"/>
    <w:rsid w:val="343D039C"/>
    <w:rsid w:val="35C92EDD"/>
    <w:rsid w:val="3E912DE9"/>
    <w:rsid w:val="41894C7C"/>
    <w:rsid w:val="465B62E1"/>
    <w:rsid w:val="4A8B1677"/>
    <w:rsid w:val="4AF3587D"/>
    <w:rsid w:val="4C726D2E"/>
    <w:rsid w:val="59F842F5"/>
    <w:rsid w:val="5F4976A3"/>
    <w:rsid w:val="5F911286"/>
    <w:rsid w:val="62C11746"/>
    <w:rsid w:val="6B005CDC"/>
    <w:rsid w:val="6BB00EAB"/>
    <w:rsid w:val="6E43030E"/>
    <w:rsid w:val="6FF51BE9"/>
    <w:rsid w:val="730967A6"/>
    <w:rsid w:val="771A0364"/>
    <w:rsid w:val="784D0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qFormat/>
    <w:uiPriority w:val="9"/>
    <w:pPr>
      <w:keepNext/>
      <w:spacing w:before="240" w:after="60"/>
      <w:outlineLvl w:val="3"/>
    </w:pPr>
    <w:rPr>
      <w:b/>
      <w:bCs/>
      <w:sz w:val="28"/>
      <w:szCs w:val="28"/>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qFormat/>
    <w:uiPriority w:val="34"/>
    <w:pPr>
      <w:ind w:firstLine="420" w:firstLineChars="200"/>
    </w:pPr>
    <w:rPr>
      <w:rFonts w:ascii="Calibri" w:hAnsi="Calibri" w:eastAsia="宋体" w:cs="Times New Roman"/>
    </w:rPr>
  </w:style>
  <w:style w:type="character" w:customStyle="1" w:styleId="8">
    <w:name w:val="font01"/>
    <w:basedOn w:val="6"/>
    <w:autoRedefine/>
    <w:qFormat/>
    <w:uiPriority w:val="0"/>
    <w:rPr>
      <w:rFonts w:hint="eastAsia" w:ascii="宋体" w:hAnsi="宋体" w:eastAsia="宋体" w:cs="宋体"/>
      <w:color w:val="000000"/>
      <w:sz w:val="22"/>
      <w:szCs w:val="22"/>
      <w:u w:val="none"/>
    </w:rPr>
  </w:style>
  <w:style w:type="character" w:customStyle="1" w:styleId="9">
    <w:name w:val="font11"/>
    <w:basedOn w:val="6"/>
    <w:autoRedefine/>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2024-01-19T01:32:00Z</dcterms:created>
  <dc:creator>admin</dc:creator>
  <cp:lastModifiedBy>江医罗玲15881637860</cp:lastModifiedBy>
  <dcterms:modified xsi:type="dcterms:W3CDTF">2024-03-12T07:53:52Z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5442497BBA2846D9A113845657D3150A_12</vt:lpwstr>
  </property>
</Properties>
</file>